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0FB63" w14:textId="48B484D4" w:rsidR="005C3C74" w:rsidRPr="00C40A55" w:rsidRDefault="005C3C74" w:rsidP="00E44877">
      <w:pPr>
        <w:spacing w:after="0" w:line="276" w:lineRule="auto"/>
        <w:ind w:left="4956"/>
        <w:jc w:val="right"/>
        <w:rPr>
          <w:rFonts w:ascii="Times New Roman" w:hAnsi="Times New Roman" w:cs="Times New Roman"/>
        </w:rPr>
      </w:pPr>
      <w:r w:rsidRPr="00C40A55">
        <w:rPr>
          <w:rFonts w:ascii="Times New Roman" w:hAnsi="Times New Roman" w:cs="Times New Roman"/>
        </w:rPr>
        <w:t xml:space="preserve">Załącznik nr </w:t>
      </w:r>
      <w:r w:rsidR="00E04747" w:rsidRPr="00C40A55">
        <w:rPr>
          <w:rFonts w:ascii="Times New Roman" w:hAnsi="Times New Roman" w:cs="Times New Roman"/>
        </w:rPr>
        <w:t>11</w:t>
      </w:r>
    </w:p>
    <w:p w14:paraId="6678ED90" w14:textId="0B2BCE4B" w:rsidR="005C3C74" w:rsidRPr="00C40A55" w:rsidRDefault="005C3C74" w:rsidP="00E44877">
      <w:pPr>
        <w:tabs>
          <w:tab w:val="left" w:pos="2835"/>
          <w:tab w:val="left" w:pos="6237"/>
          <w:tab w:val="left" w:pos="9639"/>
        </w:tabs>
        <w:spacing w:after="0" w:line="240" w:lineRule="atLeast"/>
        <w:ind w:left="4956"/>
        <w:jc w:val="right"/>
        <w:rPr>
          <w:rFonts w:ascii="Times New Roman" w:hAnsi="Times New Roman" w:cs="Times New Roman"/>
        </w:rPr>
      </w:pPr>
      <w:r w:rsidRPr="00C40A55">
        <w:rPr>
          <w:rFonts w:ascii="Times New Roman" w:hAnsi="Times New Roman" w:cs="Times New Roman"/>
          <w:lang w:eastAsia="ar-SA"/>
        </w:rPr>
        <w:t xml:space="preserve">do </w:t>
      </w:r>
      <w:r w:rsidR="00316E81" w:rsidRPr="00C40A55">
        <w:rPr>
          <w:rFonts w:ascii="Times New Roman" w:hAnsi="Times New Roman" w:cs="Times New Roman"/>
          <w:lang w:eastAsia="ar-SA"/>
        </w:rPr>
        <w:t>P</w:t>
      </w:r>
      <w:r w:rsidRPr="00C40A55">
        <w:rPr>
          <w:rFonts w:ascii="Times New Roman" w:hAnsi="Times New Roman" w:cs="Times New Roman"/>
          <w:lang w:eastAsia="ar-SA"/>
        </w:rPr>
        <w:t>rotokołu z 7.</w:t>
      </w:r>
      <w:r w:rsidR="00E44877" w:rsidRPr="00C40A55">
        <w:rPr>
          <w:rFonts w:ascii="Times New Roman" w:hAnsi="Times New Roman" w:cs="Times New Roman"/>
          <w:lang w:eastAsia="ar-SA"/>
        </w:rPr>
        <w:t xml:space="preserve"> </w:t>
      </w:r>
      <w:r w:rsidRPr="00C40A55">
        <w:rPr>
          <w:rFonts w:ascii="Times New Roman" w:hAnsi="Times New Roman" w:cs="Times New Roman"/>
          <w:lang w:eastAsia="ar-SA"/>
        </w:rPr>
        <w:t>posiedzenia Komisji</w:t>
      </w:r>
    </w:p>
    <w:p w14:paraId="57F64325" w14:textId="662BF21F" w:rsidR="00DB7AA2" w:rsidRPr="00C40A55" w:rsidRDefault="00DB7AA2" w:rsidP="00DB7AA2">
      <w:pPr>
        <w:spacing w:after="0" w:line="276" w:lineRule="auto"/>
        <w:ind w:left="6237"/>
        <w:jc w:val="both"/>
        <w:rPr>
          <w:rFonts w:ascii="Times New Roman" w:eastAsia="Times New Roman" w:hAnsi="Times New Roman" w:cs="Times New Roman"/>
          <w:b/>
          <w:bCs/>
          <w:color w:val="000000"/>
          <w:lang w:val="cs-CZ" w:eastAsia="cs-CZ"/>
        </w:rPr>
      </w:pPr>
    </w:p>
    <w:p w14:paraId="3EF48F17" w14:textId="77777777" w:rsidR="00DB7AA2" w:rsidRPr="00C40A55" w:rsidRDefault="00DB7AA2" w:rsidP="00DB7AA2">
      <w:pPr>
        <w:spacing w:after="0" w:line="276" w:lineRule="auto"/>
        <w:ind w:left="6237"/>
        <w:jc w:val="both"/>
        <w:rPr>
          <w:rFonts w:ascii="Times New Roman" w:eastAsia="Times New Roman" w:hAnsi="Times New Roman" w:cs="Times New Roman"/>
          <w:lang w:val="cs-CZ" w:eastAsia="pl-PL"/>
        </w:rPr>
      </w:pPr>
    </w:p>
    <w:p w14:paraId="1226E1E3" w14:textId="77777777" w:rsidR="005C3C74" w:rsidRPr="00C40A55" w:rsidRDefault="005C3C74" w:rsidP="00DB7AA2">
      <w:pPr>
        <w:spacing w:after="0" w:line="276" w:lineRule="auto"/>
        <w:ind w:left="6237"/>
        <w:jc w:val="both"/>
        <w:rPr>
          <w:rFonts w:ascii="Times New Roman" w:eastAsia="Times New Roman" w:hAnsi="Times New Roman" w:cs="Times New Roman"/>
          <w:lang w:val="cs-CZ" w:eastAsia="pl-PL"/>
        </w:rPr>
      </w:pPr>
    </w:p>
    <w:p w14:paraId="42A06A24" w14:textId="1413C18E" w:rsidR="00DB7AA2" w:rsidRPr="00C40A55" w:rsidRDefault="00F56E7D" w:rsidP="00DB7AA2">
      <w:pPr>
        <w:spacing w:after="0" w:line="276" w:lineRule="auto"/>
        <w:jc w:val="center"/>
        <w:rPr>
          <w:rFonts w:ascii="Times New Roman" w:eastAsia="Times New Roman" w:hAnsi="Times New Roman" w:cs="Times New Roman"/>
          <w:lang w:val="cs-CZ" w:eastAsia="pl-PL"/>
        </w:rPr>
      </w:pPr>
      <w:bookmarkStart w:id="0" w:name="bookmark0"/>
      <w:r w:rsidRPr="00C40A55">
        <w:rPr>
          <w:rFonts w:ascii="Times New Roman" w:eastAsia="Times New Roman" w:hAnsi="Times New Roman" w:cs="Times New Roman"/>
          <w:b/>
          <w:bCs/>
          <w:color w:val="000000"/>
          <w:lang w:eastAsia="cs-CZ"/>
        </w:rPr>
        <w:t xml:space="preserve">Zasady współpracy </w:t>
      </w:r>
      <w:r w:rsidR="005C3C74" w:rsidRPr="00C40A55">
        <w:rPr>
          <w:rFonts w:ascii="Times New Roman" w:eastAsia="Times New Roman" w:hAnsi="Times New Roman" w:cs="Times New Roman"/>
          <w:b/>
          <w:bCs/>
          <w:color w:val="000000"/>
          <w:lang w:eastAsia="cs-CZ"/>
        </w:rPr>
        <w:t>p</w:t>
      </w:r>
      <w:r w:rsidRPr="00C40A55">
        <w:rPr>
          <w:rFonts w:ascii="Times New Roman" w:eastAsia="Times New Roman" w:hAnsi="Times New Roman" w:cs="Times New Roman"/>
          <w:b/>
          <w:bCs/>
          <w:color w:val="000000"/>
          <w:lang w:eastAsia="cs-CZ"/>
        </w:rPr>
        <w:t>olsko-czeskiej Grupy Roboczej OPZ "ochrona przed</w:t>
      </w:r>
      <w:bookmarkStart w:id="1" w:name="bookmark1"/>
      <w:bookmarkEnd w:id="0"/>
      <w:r w:rsidRPr="00C40A55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C40A55">
        <w:rPr>
          <w:rFonts w:ascii="Times New Roman" w:eastAsia="Times New Roman" w:hAnsi="Times New Roman" w:cs="Times New Roman"/>
          <w:b/>
          <w:bCs/>
          <w:color w:val="000000"/>
          <w:lang w:eastAsia="cs-CZ"/>
        </w:rPr>
        <w:t>zanieczyszczeniem"</w:t>
      </w:r>
      <w:bookmarkEnd w:id="1"/>
    </w:p>
    <w:p w14:paraId="2E73E95A" w14:textId="77777777" w:rsidR="00DB7AA2" w:rsidRPr="00C40A55" w:rsidRDefault="00DB7AA2" w:rsidP="00DB7AA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</w:p>
    <w:p w14:paraId="1F14C710" w14:textId="44D24C2B" w:rsidR="00DB7AA2" w:rsidRPr="00C40A55" w:rsidRDefault="00F56E7D" w:rsidP="00DB7AA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lang w:val="cs-CZ" w:eastAsia="pl-PL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Na podstawie Umowy między Rządem Republiki Czeskiej a Rządem Rzeczypospolitej Polskiej o współpracy w dziedzinie gospodarki wodnej na wodach granicznych, podpisanej w</w:t>
      </w:r>
      <w:r w:rsidR="00E727D0" w:rsidRPr="00C40A55">
        <w:rPr>
          <w:rFonts w:ascii="Times New Roman" w:eastAsia="Times New Roman" w:hAnsi="Times New Roman" w:cs="Times New Roman"/>
          <w:color w:val="000000"/>
          <w:lang w:eastAsia="cs-CZ"/>
        </w:rPr>
        <w:t> 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Pradze dnia 20 kwietnia 2015 roku, Polsko-Czeska Komisja do spraw Wód Granicznych powierza Polsko-Czeskiej Grupie do spraw Ochrony Wód Granicznych przed Zanieczyszczeniem (zwana dalej „grupa OPZ”) zadania związane ze współpracą w zakresie ochrony wód granicznych przed zanieczyszczeniem zgodnie z zatwierdzonymi Zasadami współpracy (zwanymi dalej "Zasadami").</w:t>
      </w:r>
    </w:p>
    <w:p w14:paraId="13E73147" w14:textId="77777777" w:rsidR="00DB7AA2" w:rsidRPr="00C40A55" w:rsidRDefault="00DB7AA2" w:rsidP="00DB7AA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</w:p>
    <w:p w14:paraId="4FF72E1E" w14:textId="77777777" w:rsidR="000C4914" w:rsidRPr="00C40A55" w:rsidRDefault="000C4914" w:rsidP="00DB7AA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</w:p>
    <w:p w14:paraId="7B257E6F" w14:textId="54386E2A" w:rsidR="00DB7AA2" w:rsidRPr="00C40A55" w:rsidRDefault="00F56E7D" w:rsidP="00DB7AA2">
      <w:pPr>
        <w:spacing w:after="0" w:line="276" w:lineRule="auto"/>
        <w:jc w:val="center"/>
        <w:rPr>
          <w:rFonts w:ascii="Times New Roman" w:eastAsia="Times New Roman" w:hAnsi="Times New Roman" w:cs="Times New Roman"/>
          <w:lang w:val="cs-CZ" w:eastAsia="pl-PL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§ 1</w:t>
      </w:r>
    </w:p>
    <w:p w14:paraId="68706F6B" w14:textId="18B4071C" w:rsidR="00DB7AA2" w:rsidRPr="00C40A55" w:rsidRDefault="00F56E7D" w:rsidP="00DB7AA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1. Celem współpracy ukierunkowanej na ochronę jakości wód wybranych cieków granicznych w zakresie rozwiązywania problemów ochrony jakości wód (zwanych dalej "wodami granicznymi") jest stworzenie warunków do korzystania z wód granicznych z korzyścią dla obu państw.</w:t>
      </w:r>
    </w:p>
    <w:p w14:paraId="3C6F48E4" w14:textId="33642B68" w:rsidR="00DB7AA2" w:rsidRPr="00C40A55" w:rsidRDefault="00F56E7D" w:rsidP="00DB7AA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2. Aby osiągnąć cel określony w ustępie 1, Strony będą wspólnie, w szczególności:</w:t>
      </w:r>
    </w:p>
    <w:p w14:paraId="144C37AF" w14:textId="77777777" w:rsidR="00DB7AA2" w:rsidRPr="00C40A55" w:rsidRDefault="00F56E7D" w:rsidP="00DB7AA2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badać i oceniać jakość wód granicznych wymienionych w Załączniku 1 do niniejszych Zasad,</w:t>
      </w:r>
    </w:p>
    <w:p w14:paraId="4B00FAC8" w14:textId="77777777" w:rsidR="00DB7AA2" w:rsidRPr="00C40A55" w:rsidRDefault="00F56E7D" w:rsidP="00DB7AA2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przekazywać sobie informacje na temat projektów realizowanych w celu poprawy lub utrzymania jakości wód granicznych,</w:t>
      </w:r>
    </w:p>
    <w:p w14:paraId="7FA1AC0F" w14:textId="77777777" w:rsidR="00DB7AA2" w:rsidRPr="00C40A55" w:rsidRDefault="00F56E7D" w:rsidP="00DB7AA2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corocznie oceniać realizację postanowień niniejszych Zasad.</w:t>
      </w:r>
    </w:p>
    <w:p w14:paraId="54438E85" w14:textId="77777777" w:rsidR="00DB7AA2" w:rsidRPr="00C40A55" w:rsidRDefault="00DB7AA2" w:rsidP="00DB7AA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</w:p>
    <w:p w14:paraId="1EE4F3ED" w14:textId="77777777" w:rsidR="000C4914" w:rsidRPr="00C40A55" w:rsidRDefault="000C4914" w:rsidP="00DB7AA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</w:p>
    <w:p w14:paraId="7852C0BE" w14:textId="756C3BEB" w:rsidR="00DB7AA2" w:rsidRPr="00C40A55" w:rsidRDefault="00F56E7D" w:rsidP="00DB7AA2">
      <w:pPr>
        <w:spacing w:after="0" w:line="276" w:lineRule="auto"/>
        <w:jc w:val="center"/>
        <w:rPr>
          <w:rFonts w:ascii="Times New Roman" w:eastAsia="Times New Roman" w:hAnsi="Times New Roman" w:cs="Times New Roman"/>
          <w:lang w:val="cs-CZ" w:eastAsia="pl-PL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§ 2</w:t>
      </w:r>
    </w:p>
    <w:p w14:paraId="19B93EA0" w14:textId="4CE9D222" w:rsidR="00DB7AA2" w:rsidRPr="00C40A55" w:rsidRDefault="00F56E7D" w:rsidP="00DB7AA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Ocenę jakości wód granicznych przeprowadza się w przekrojach pobierania próbek, z</w:t>
      </w:r>
      <w:r w:rsidR="00E727D0" w:rsidRPr="00C40A55">
        <w:rPr>
          <w:rFonts w:ascii="Times New Roman" w:eastAsia="Times New Roman" w:hAnsi="Times New Roman" w:cs="Times New Roman"/>
          <w:color w:val="000000"/>
          <w:lang w:eastAsia="cs-CZ"/>
        </w:rPr>
        <w:t> 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częstotliwością i zgodnie ze wskaźnikami jakości wody wymienionymi w załączniku 1 do niniejszych zasad.</w:t>
      </w:r>
    </w:p>
    <w:p w14:paraId="5154D621" w14:textId="77777777" w:rsidR="00DB7AA2" w:rsidRPr="00C40A55" w:rsidRDefault="00DB7AA2" w:rsidP="00DB7AA2">
      <w:pPr>
        <w:spacing w:after="0" w:line="276" w:lineRule="auto"/>
        <w:jc w:val="both"/>
        <w:rPr>
          <w:rFonts w:ascii="Times New Roman" w:eastAsia="Times New Roman" w:hAnsi="Times New Roman" w:cs="Times New Roman"/>
          <w:lang w:val="cs-CZ" w:eastAsia="pl-PL"/>
        </w:rPr>
      </w:pPr>
    </w:p>
    <w:p w14:paraId="3A763984" w14:textId="77777777" w:rsidR="000C4914" w:rsidRPr="00C40A55" w:rsidRDefault="000C4914" w:rsidP="00DB7AA2">
      <w:pPr>
        <w:spacing w:after="0" w:line="276" w:lineRule="auto"/>
        <w:jc w:val="both"/>
        <w:rPr>
          <w:rFonts w:ascii="Times New Roman" w:eastAsia="Times New Roman" w:hAnsi="Times New Roman" w:cs="Times New Roman"/>
          <w:lang w:val="cs-CZ" w:eastAsia="pl-PL"/>
        </w:rPr>
      </w:pPr>
    </w:p>
    <w:p w14:paraId="72A42E81" w14:textId="77777777" w:rsidR="00DB7AA2" w:rsidRPr="00C40A55" w:rsidRDefault="00F56E7D" w:rsidP="00DB7AA2">
      <w:pPr>
        <w:spacing w:after="0" w:line="276" w:lineRule="auto"/>
        <w:jc w:val="center"/>
        <w:rPr>
          <w:rFonts w:ascii="Times New Roman" w:eastAsia="Times New Roman" w:hAnsi="Times New Roman" w:cs="Times New Roman"/>
          <w:lang w:val="cs-CZ" w:eastAsia="pl-PL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§ 3</w:t>
      </w:r>
    </w:p>
    <w:p w14:paraId="6638DC8F" w14:textId="4157F4B6" w:rsidR="00411E4C" w:rsidRPr="00C40A55" w:rsidRDefault="00F56E7D" w:rsidP="00DB7AA2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Jakość wody w przekrojach poboru jest wyrażona klasą jakości poszczególnych wskaźników lub wyrażeniem "spełnia / nie spełnia" w przypadku wskaźników z grupy substancji priorytetowych zgodnie z załącznikiem 4 do niniejszych Zasad.</w:t>
      </w:r>
    </w:p>
    <w:p w14:paraId="6653B8DD" w14:textId="34E7F2D1" w:rsidR="00DB7AA2" w:rsidRPr="00C40A55" w:rsidRDefault="00DB7AA2" w:rsidP="00DB7AA2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</w:p>
    <w:p w14:paraId="00330532" w14:textId="77777777" w:rsidR="000C4914" w:rsidRPr="00C40A55" w:rsidRDefault="000C4914" w:rsidP="00DB7AA2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</w:p>
    <w:p w14:paraId="40F690B1" w14:textId="77777777" w:rsidR="005C3C74" w:rsidRPr="00C40A55" w:rsidRDefault="005C3C74" w:rsidP="00DB7AA2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</w:p>
    <w:p w14:paraId="3EEB32F7" w14:textId="77777777" w:rsidR="00DB7AA2" w:rsidRPr="00C40A55" w:rsidRDefault="00F56E7D" w:rsidP="00DB7AA2">
      <w:pPr>
        <w:spacing w:line="276" w:lineRule="auto"/>
        <w:jc w:val="center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§ 4</w:t>
      </w:r>
    </w:p>
    <w:p w14:paraId="600EF416" w14:textId="3E5F04AB" w:rsidR="00DB7AA2" w:rsidRPr="00C40A55" w:rsidRDefault="00F56E7D" w:rsidP="00DB7AA2">
      <w:pPr>
        <w:spacing w:line="276" w:lineRule="auto"/>
        <w:jc w:val="both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1. Próbki wody do pomiarów jakości wód granicznych są pobierane wspólnie przez pracowników instytucji wymienionych w Załączniku nr 2 do niniejszych zasad w uzgodniony sposób. Pobieranie próbek wody w przypadku pomiarów jednostronnych powinno odbywać się zgodnie z tymi samymi zasadami, co w przypadku pomiarów wspólnych.</w:t>
      </w:r>
    </w:p>
    <w:p w14:paraId="5AA2BCEF" w14:textId="4ED3F690" w:rsidR="00DB7AA2" w:rsidRPr="00C40A55" w:rsidRDefault="00F56E7D" w:rsidP="00DB7AA2">
      <w:pPr>
        <w:spacing w:line="276" w:lineRule="auto"/>
        <w:jc w:val="both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2. Próbki wody są pobierane w wyznaczonych przekrojach pobierania próbek zgodnie z</w:t>
      </w:r>
      <w:r w:rsidR="00E727D0" w:rsidRPr="00C40A55">
        <w:rPr>
          <w:rFonts w:ascii="Times New Roman" w:eastAsia="Times New Roman" w:hAnsi="Times New Roman" w:cs="Times New Roman"/>
        </w:rPr>
        <w:t> </w:t>
      </w:r>
      <w:r w:rsidRPr="00C40A55">
        <w:rPr>
          <w:rFonts w:ascii="Times New Roman" w:eastAsia="Times New Roman" w:hAnsi="Times New Roman" w:cs="Times New Roman"/>
        </w:rPr>
        <w:t>Załącznikiem 1 do niniejszych Zasad.</w:t>
      </w:r>
    </w:p>
    <w:p w14:paraId="488A7EF4" w14:textId="401D241C" w:rsidR="00DB7AA2" w:rsidRPr="00C40A55" w:rsidRDefault="00F56E7D" w:rsidP="00DB7AA2">
      <w:pPr>
        <w:spacing w:line="276" w:lineRule="auto"/>
        <w:jc w:val="both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lastRenderedPageBreak/>
        <w:t>3. Pobrane próbki wody, z wyjątkiem próbek bakteriologicznych, zostaną podzielone na dwie równe objętości i przekazane odpowiednim instytucjom do analizy.</w:t>
      </w:r>
    </w:p>
    <w:p w14:paraId="09383D59" w14:textId="2DB2ADD1" w:rsidR="00DB7AA2" w:rsidRPr="00C40A55" w:rsidRDefault="00F56E7D" w:rsidP="00DB7AA2">
      <w:pPr>
        <w:spacing w:line="276" w:lineRule="auto"/>
        <w:jc w:val="both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4. Podczas wspólnego pobierania próbek pomiar temperatury powietrza i wody są mierzone razem, a data i godzina pobrania próbki, warunki meteorologiczne i hydrologiczne, zjawiska lodowe lub inne okoliczności, które mogą mieć wpływ na jakość wody, są wspólnie rejestrowane.</w:t>
      </w:r>
    </w:p>
    <w:p w14:paraId="4D963A60" w14:textId="77777777" w:rsidR="00DB7AA2" w:rsidRPr="00C40A55" w:rsidRDefault="00DB7AA2" w:rsidP="00DB7AA2">
      <w:pPr>
        <w:spacing w:line="276" w:lineRule="auto"/>
        <w:jc w:val="both"/>
        <w:rPr>
          <w:rFonts w:ascii="Times New Roman" w:hAnsi="Times New Roman" w:cs="Times New Roman"/>
        </w:rPr>
      </w:pPr>
    </w:p>
    <w:p w14:paraId="174A53D0" w14:textId="77777777" w:rsidR="00DB7AA2" w:rsidRPr="00C40A55" w:rsidRDefault="00F56E7D" w:rsidP="00DB7AA2">
      <w:pPr>
        <w:spacing w:line="276" w:lineRule="auto"/>
        <w:jc w:val="center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§ 5</w:t>
      </w:r>
    </w:p>
    <w:p w14:paraId="2D3A0AF7" w14:textId="37F57209" w:rsidR="00DB7AA2" w:rsidRPr="00C40A55" w:rsidRDefault="00F56E7D" w:rsidP="00DB7AA2">
      <w:pPr>
        <w:spacing w:line="276" w:lineRule="auto"/>
        <w:jc w:val="both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1. Analiza próbek wody jest przeprowadzana przez instytucje wymienione w Załączniku 2 do niniejszych Zasad, które posiadają wdrożony system zarządzania jakością.</w:t>
      </w:r>
    </w:p>
    <w:p w14:paraId="26C36832" w14:textId="64A20DBA" w:rsidR="00DB7AA2" w:rsidRPr="00C40A55" w:rsidRDefault="00F56E7D" w:rsidP="00DB7AA2">
      <w:pPr>
        <w:spacing w:line="276" w:lineRule="auto"/>
        <w:jc w:val="both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2. W przypadku znacznych rozbieżności w wynikach analiz wspólnie pobranych próbek wody, współpracujące instytucje przeanalizują możliwe przyczyny i ujednolicą wyniki.</w:t>
      </w:r>
    </w:p>
    <w:p w14:paraId="3180FE10" w14:textId="77777777" w:rsidR="00DB7AA2" w:rsidRPr="00C40A55" w:rsidRDefault="00DB7AA2" w:rsidP="00DB7AA2">
      <w:pPr>
        <w:spacing w:line="276" w:lineRule="auto"/>
        <w:jc w:val="both"/>
        <w:rPr>
          <w:rFonts w:ascii="Times New Roman" w:hAnsi="Times New Roman" w:cs="Times New Roman"/>
        </w:rPr>
      </w:pPr>
    </w:p>
    <w:p w14:paraId="3C9F729F" w14:textId="77777777" w:rsidR="00DB7AA2" w:rsidRPr="00C40A55" w:rsidRDefault="00F56E7D" w:rsidP="00DB7AA2">
      <w:pPr>
        <w:spacing w:line="276" w:lineRule="auto"/>
        <w:jc w:val="center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§ 6</w:t>
      </w:r>
    </w:p>
    <w:p w14:paraId="457CB7C4" w14:textId="77777777" w:rsidR="00DB7AA2" w:rsidRPr="00C40A55" w:rsidRDefault="00F56E7D" w:rsidP="00DB7AA2">
      <w:pPr>
        <w:spacing w:line="276" w:lineRule="auto"/>
        <w:jc w:val="both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Ocena jakości wód granicznych jest przeprowadzana przez Grupę OPZ zgodnie z metodologią i kryteriami określonymi w Załącznikach 3 i 4 do niniejszych Zasad.</w:t>
      </w:r>
    </w:p>
    <w:p w14:paraId="5CA2BC5C" w14:textId="77777777" w:rsidR="00DB7AA2" w:rsidRPr="00C40A55" w:rsidRDefault="00DB7AA2" w:rsidP="00DB7AA2">
      <w:pPr>
        <w:spacing w:line="276" w:lineRule="auto"/>
        <w:jc w:val="both"/>
        <w:rPr>
          <w:rFonts w:ascii="Times New Roman" w:hAnsi="Times New Roman" w:cs="Times New Roman"/>
        </w:rPr>
      </w:pPr>
    </w:p>
    <w:p w14:paraId="6A20ED4F" w14:textId="77777777" w:rsidR="00DB7AA2" w:rsidRPr="00C40A55" w:rsidRDefault="00F56E7D" w:rsidP="00DB7AA2">
      <w:pPr>
        <w:spacing w:line="276" w:lineRule="auto"/>
        <w:jc w:val="center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§ 7</w:t>
      </w:r>
    </w:p>
    <w:p w14:paraId="192B1E53" w14:textId="3FE53AE4" w:rsidR="00DB7AA2" w:rsidRPr="00C40A55" w:rsidRDefault="00F56E7D" w:rsidP="00DB7AA2">
      <w:pPr>
        <w:spacing w:line="276" w:lineRule="auto"/>
        <w:jc w:val="both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1. Raport o jakości wód granicznych za poprzedni rok przygotowuje Grupa OPZ do 30 czerwca następnego roku.</w:t>
      </w:r>
    </w:p>
    <w:p w14:paraId="2B05B9CE" w14:textId="6DFAADAD" w:rsidR="00DB7AA2" w:rsidRPr="00C40A55" w:rsidRDefault="00F56E7D" w:rsidP="00DB7AA2">
      <w:pPr>
        <w:spacing w:line="276" w:lineRule="auto"/>
        <w:jc w:val="both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2. Raport ten obejmuje:</w:t>
      </w:r>
    </w:p>
    <w:p w14:paraId="220206C5" w14:textId="77777777" w:rsidR="00DB7AA2" w:rsidRPr="00C40A55" w:rsidRDefault="00F56E7D" w:rsidP="00DB7AA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ocenę jakości wód granicznych na podstawie ujednoliconych wyników badań laboratoryjnych</w:t>
      </w:r>
    </w:p>
    <w:p w14:paraId="0EFEE4BF" w14:textId="77777777" w:rsidR="00DB7AA2" w:rsidRPr="00C40A55" w:rsidRDefault="00F56E7D" w:rsidP="00DB7AA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opis zmian w stosunku do roku poprzedniego</w:t>
      </w:r>
    </w:p>
    <w:p w14:paraId="415B116B" w14:textId="2A68BBF1" w:rsidR="00DB7AA2" w:rsidRPr="00C40A55" w:rsidRDefault="00F56E7D" w:rsidP="00DB7AA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informacje o zakończonych projektach, które mają pozytywny wpływ na jakość wód granicznych.</w:t>
      </w:r>
    </w:p>
    <w:p w14:paraId="6287812E" w14:textId="77777777" w:rsidR="00DB7AA2" w:rsidRPr="00C40A55" w:rsidRDefault="00F56E7D" w:rsidP="00DB7AA2">
      <w:pPr>
        <w:spacing w:line="276" w:lineRule="auto"/>
        <w:jc w:val="center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§ 8</w:t>
      </w:r>
    </w:p>
    <w:p w14:paraId="0373BE78" w14:textId="77777777" w:rsidR="00DB7AA2" w:rsidRPr="00C40A55" w:rsidRDefault="00F56E7D" w:rsidP="00DB7AA2">
      <w:pPr>
        <w:spacing w:line="276" w:lineRule="auto"/>
        <w:jc w:val="both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W przypadku zaistnienia na terytorium jednego państwa sytuacji, która spowodowała lub może spowodować nadzwyczajną zmianę jakości wód na terytorium drugiego Państwa, podejmowane są działania zgodnie z "Międzynarodowym planem ostrzegania i alarmowania Odra" Międzynarodowej Komisji Ochrony Odry przed Zanieczyszczeniem.</w:t>
      </w:r>
    </w:p>
    <w:p w14:paraId="0A5EC5A2" w14:textId="77777777" w:rsidR="00DB7AA2" w:rsidRPr="00C40A55" w:rsidRDefault="00DB7AA2" w:rsidP="00DB7AA2">
      <w:pPr>
        <w:spacing w:line="276" w:lineRule="auto"/>
        <w:jc w:val="both"/>
        <w:rPr>
          <w:rFonts w:ascii="Times New Roman" w:hAnsi="Times New Roman" w:cs="Times New Roman"/>
        </w:rPr>
      </w:pPr>
    </w:p>
    <w:p w14:paraId="0B166BD9" w14:textId="639A1ED8" w:rsidR="00DB7AA2" w:rsidRPr="00C40A55" w:rsidRDefault="00F56E7D" w:rsidP="00DB7AA2">
      <w:pPr>
        <w:spacing w:line="276" w:lineRule="auto"/>
        <w:jc w:val="center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§ 9</w:t>
      </w:r>
    </w:p>
    <w:p w14:paraId="46A00CAF" w14:textId="0620C62B" w:rsidR="00DB7AA2" w:rsidRPr="00C40A55" w:rsidRDefault="00F56E7D" w:rsidP="00DB7AA2">
      <w:pPr>
        <w:spacing w:line="276" w:lineRule="auto"/>
        <w:jc w:val="both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Następujące załączniki stanowią integralną część niniejszych Zasad:</w:t>
      </w:r>
    </w:p>
    <w:p w14:paraId="051364ED" w14:textId="2431DDB0" w:rsidR="00DB7AA2" w:rsidRPr="00C40A55" w:rsidRDefault="00F56E7D" w:rsidP="004A26FD">
      <w:pPr>
        <w:pStyle w:val="Akapitzlist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Załącznik nr 1 - Wykaz dwustronnie badanych przekrojów jakości wód granicznych i</w:t>
      </w:r>
      <w:r w:rsidR="00E727D0" w:rsidRPr="00C40A55">
        <w:rPr>
          <w:rFonts w:ascii="Times New Roman" w:eastAsia="Times New Roman" w:hAnsi="Times New Roman" w:cs="Times New Roman"/>
        </w:rPr>
        <w:t> </w:t>
      </w:r>
      <w:r w:rsidRPr="00C40A55">
        <w:rPr>
          <w:rFonts w:ascii="Times New Roman" w:eastAsia="Times New Roman" w:hAnsi="Times New Roman" w:cs="Times New Roman"/>
        </w:rPr>
        <w:t>zakres badanych wskaźników</w:t>
      </w:r>
    </w:p>
    <w:p w14:paraId="0EEC6069" w14:textId="39CE2039" w:rsidR="00DB7AA2" w:rsidRPr="00C40A55" w:rsidRDefault="00F56E7D" w:rsidP="004A26FD">
      <w:pPr>
        <w:pStyle w:val="Akapitzlist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Załącznik nr 2 - Wykaz instytucji badających jakość wód granicznych</w:t>
      </w:r>
    </w:p>
    <w:p w14:paraId="09502295" w14:textId="33B6EFA4" w:rsidR="00DB7AA2" w:rsidRPr="00C40A55" w:rsidRDefault="00F56E7D" w:rsidP="004A26FD">
      <w:pPr>
        <w:pStyle w:val="Akapitzlist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Załącznik nr 3 - Metodologia oceny jakości wód granicznych</w:t>
      </w:r>
    </w:p>
    <w:p w14:paraId="7FF7F3F8" w14:textId="2BA8C048" w:rsidR="00DB7AA2" w:rsidRPr="00C40A55" w:rsidRDefault="00F56E7D" w:rsidP="004A26FD">
      <w:pPr>
        <w:pStyle w:val="Akapitzlist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 xml:space="preserve">Załącznik nr 4 - Normy jakości </w:t>
      </w:r>
      <w:r w:rsidR="005C3C74" w:rsidRPr="00C40A55">
        <w:rPr>
          <w:rFonts w:ascii="Times New Roman" w:eastAsia="Times New Roman" w:hAnsi="Times New Roman" w:cs="Times New Roman"/>
        </w:rPr>
        <w:t xml:space="preserve">wód </w:t>
      </w:r>
      <w:r w:rsidRPr="00C40A55">
        <w:rPr>
          <w:rFonts w:ascii="Times New Roman" w:eastAsia="Times New Roman" w:hAnsi="Times New Roman" w:cs="Times New Roman"/>
        </w:rPr>
        <w:t>stosowane do oceny wód granicznych.</w:t>
      </w:r>
    </w:p>
    <w:p w14:paraId="665775DD" w14:textId="77777777" w:rsidR="00DB7AA2" w:rsidRPr="00C40A55" w:rsidRDefault="00DB7AA2" w:rsidP="00DB7AA2">
      <w:pPr>
        <w:spacing w:line="276" w:lineRule="auto"/>
        <w:jc w:val="both"/>
        <w:rPr>
          <w:rFonts w:ascii="Times New Roman" w:hAnsi="Times New Roman" w:cs="Times New Roman"/>
        </w:rPr>
      </w:pPr>
    </w:p>
    <w:p w14:paraId="44519A64" w14:textId="77777777" w:rsidR="00DB7AA2" w:rsidRPr="00C40A55" w:rsidRDefault="00F56E7D" w:rsidP="00DB7AA2">
      <w:pPr>
        <w:spacing w:line="276" w:lineRule="auto"/>
        <w:jc w:val="center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§ 10</w:t>
      </w:r>
    </w:p>
    <w:p w14:paraId="07CC22C0" w14:textId="6020B340" w:rsidR="00DB7AA2" w:rsidRPr="00C40A55" w:rsidRDefault="00F56E7D" w:rsidP="00DB7AA2">
      <w:pPr>
        <w:spacing w:line="276" w:lineRule="auto"/>
        <w:jc w:val="both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Niniejsze Zasady wchodzą w życie z dniem zatwierdzenia Protokołu z 7. posiedzenia Polsko-Czeskiej Komisji ds. Wód Granicznych, ponieważ stanowią jego integralną część.</w:t>
      </w:r>
    </w:p>
    <w:p w14:paraId="7CB25412" w14:textId="77777777" w:rsidR="00DB7AA2" w:rsidRPr="00C40A55" w:rsidRDefault="00DB7AA2" w:rsidP="00DB7AA2">
      <w:pPr>
        <w:spacing w:line="276" w:lineRule="auto"/>
        <w:jc w:val="both"/>
        <w:rPr>
          <w:rFonts w:ascii="Times New Roman" w:hAnsi="Times New Roman" w:cs="Times New Roman"/>
        </w:rPr>
      </w:pPr>
    </w:p>
    <w:p w14:paraId="325F0144" w14:textId="77777777" w:rsidR="000C4914" w:rsidRDefault="000C4914" w:rsidP="00DB7AA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0C491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44B64E4" w14:textId="01C0568A" w:rsidR="00DB7AA2" w:rsidRPr="00C40A55" w:rsidRDefault="00F56E7D" w:rsidP="00FD17C1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  <w:r w:rsidRPr="00C40A55">
        <w:rPr>
          <w:rFonts w:ascii="Times New Roman" w:eastAsia="Times New Roman" w:hAnsi="Times New Roman" w:cs="Times New Roman"/>
          <w:b/>
          <w:bCs/>
        </w:rPr>
        <w:lastRenderedPageBreak/>
        <w:t>Załącznik nr 1</w:t>
      </w:r>
    </w:p>
    <w:p w14:paraId="57DE808E" w14:textId="550F4C57" w:rsidR="00DB7AA2" w:rsidRPr="00C40A55" w:rsidRDefault="00F56E7D" w:rsidP="00FD17C1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  <w:r w:rsidRPr="00C40A55">
        <w:rPr>
          <w:rFonts w:ascii="Times New Roman" w:eastAsia="Times New Roman" w:hAnsi="Times New Roman" w:cs="Times New Roman"/>
          <w:b/>
          <w:bCs/>
        </w:rPr>
        <w:t xml:space="preserve">do Zasad współpracy </w:t>
      </w:r>
      <w:r w:rsidR="005C3C74" w:rsidRPr="00C40A55">
        <w:rPr>
          <w:rFonts w:ascii="Times New Roman" w:eastAsia="Times New Roman" w:hAnsi="Times New Roman" w:cs="Times New Roman"/>
          <w:b/>
          <w:bCs/>
        </w:rPr>
        <w:t>p</w:t>
      </w:r>
      <w:r w:rsidRPr="00C40A55">
        <w:rPr>
          <w:rFonts w:ascii="Times New Roman" w:eastAsia="Times New Roman" w:hAnsi="Times New Roman" w:cs="Times New Roman"/>
          <w:b/>
          <w:bCs/>
        </w:rPr>
        <w:t>olsko-czeskiej grupy</w:t>
      </w:r>
    </w:p>
    <w:p w14:paraId="0DF69D62" w14:textId="5AAABF1F" w:rsidR="00DB7AA2" w:rsidRPr="00C40A55" w:rsidRDefault="00F56E7D" w:rsidP="00FD17C1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  <w:r w:rsidRPr="00C40A55">
        <w:rPr>
          <w:rFonts w:ascii="Times New Roman" w:eastAsia="Times New Roman" w:hAnsi="Times New Roman" w:cs="Times New Roman"/>
          <w:b/>
          <w:bCs/>
        </w:rPr>
        <w:t>roboczej OPZ "Ochrona przed zanieczyszczeni</w:t>
      </w:r>
      <w:r w:rsidR="005C3C74" w:rsidRPr="00C40A55">
        <w:rPr>
          <w:rFonts w:ascii="Times New Roman" w:eastAsia="Times New Roman" w:hAnsi="Times New Roman" w:cs="Times New Roman"/>
          <w:b/>
          <w:bCs/>
        </w:rPr>
        <w:t>e</w:t>
      </w:r>
      <w:r w:rsidRPr="00C40A55">
        <w:rPr>
          <w:rFonts w:ascii="Times New Roman" w:eastAsia="Times New Roman" w:hAnsi="Times New Roman" w:cs="Times New Roman"/>
          <w:b/>
          <w:bCs/>
        </w:rPr>
        <w:t>m”</w:t>
      </w:r>
    </w:p>
    <w:p w14:paraId="40D99FC8" w14:textId="2B355F13" w:rsidR="00DB7AA2" w:rsidRPr="00356B89" w:rsidRDefault="00F56E7D" w:rsidP="00DB7AA2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56B89">
        <w:rPr>
          <w:rFonts w:ascii="Arial" w:eastAsia="Times New Roman" w:hAnsi="Arial" w:cs="Arial"/>
          <w:b/>
          <w:bCs/>
          <w:sz w:val="20"/>
          <w:szCs w:val="20"/>
        </w:rPr>
        <w:t xml:space="preserve">Tabela 1 Lista granicznych </w:t>
      </w:r>
      <w:r w:rsidR="0049322D" w:rsidRPr="00356B89">
        <w:rPr>
          <w:rFonts w:ascii="Arial" w:eastAsia="Times New Roman" w:hAnsi="Arial" w:cs="Arial"/>
          <w:b/>
          <w:bCs/>
          <w:sz w:val="20"/>
          <w:szCs w:val="20"/>
        </w:rPr>
        <w:t xml:space="preserve">przekrojów </w:t>
      </w:r>
      <w:r w:rsidRPr="00356B89">
        <w:rPr>
          <w:rFonts w:ascii="Arial" w:eastAsia="Times New Roman" w:hAnsi="Arial" w:cs="Arial"/>
          <w:b/>
          <w:bCs/>
          <w:sz w:val="20"/>
          <w:szCs w:val="20"/>
        </w:rPr>
        <w:t>jakości wód</w:t>
      </w:r>
    </w:p>
    <w:tbl>
      <w:tblPr>
        <w:tblW w:w="5000" w:type="pct"/>
        <w:tblCellMar>
          <w:left w:w="28" w:type="dxa"/>
          <w:right w:w="0" w:type="dxa"/>
        </w:tblCellMar>
        <w:tblLook w:val="0000" w:firstRow="0" w:lastRow="0" w:firstColumn="0" w:lastColumn="0" w:noHBand="0" w:noVBand="0"/>
      </w:tblPr>
      <w:tblGrid>
        <w:gridCol w:w="289"/>
        <w:gridCol w:w="1216"/>
        <w:gridCol w:w="2338"/>
        <w:gridCol w:w="1539"/>
        <w:gridCol w:w="1559"/>
        <w:gridCol w:w="1394"/>
        <w:gridCol w:w="1044"/>
        <w:gridCol w:w="2625"/>
        <w:gridCol w:w="1990"/>
      </w:tblGrid>
      <w:tr w:rsidR="00EE6398" w:rsidRPr="00D85544" w14:paraId="2A27517A" w14:textId="77777777" w:rsidTr="00862132">
        <w:trPr>
          <w:trHeight w:val="192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78AAA917" w14:textId="7385F1B5" w:rsidR="00D85544" w:rsidRPr="00D85544" w:rsidRDefault="00D85544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8554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CZ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4625DD8D" w14:textId="52ACCDCD" w:rsidR="00D85544" w:rsidRPr="00D85544" w:rsidRDefault="00D85544" w:rsidP="00862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8554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Řeka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35B1505A" w14:textId="7A97D76C" w:rsidR="00D85544" w:rsidRPr="00D85544" w:rsidRDefault="009A4C9B" w:rsidP="00862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A4C9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Název měřicího bodu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E645646" w14:textId="755ADBF0" w:rsidR="00D85544" w:rsidRPr="00D85544" w:rsidRDefault="00D85544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8554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kód bodu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1A4EA382" w14:textId="1CE9A345" w:rsidR="00D85544" w:rsidRPr="00D85544" w:rsidRDefault="009A4C9B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A4C9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Zeměpisná délka bodu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55E3713E" w14:textId="54A32B7F" w:rsidR="00D85544" w:rsidRPr="00D85544" w:rsidRDefault="009A4C9B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A4C9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Zeměpisná šířka bodu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117C2826" w14:textId="27061D5F" w:rsidR="00D85544" w:rsidRPr="00D85544" w:rsidRDefault="009A4C9B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A4C9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Říční km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31CFE5D" w14:textId="11EF7ED4" w:rsidR="00D85544" w:rsidRPr="00D85544" w:rsidRDefault="00D85544" w:rsidP="00862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8554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útvar povrchové vod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6A571757" w14:textId="3CF6B871" w:rsidR="00D85544" w:rsidRPr="00D85544" w:rsidRDefault="009A4C9B" w:rsidP="008621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A4C9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ID vodního útvaru</w:t>
            </w:r>
          </w:p>
        </w:tc>
      </w:tr>
      <w:tr w:rsidR="00805AD1" w:rsidRPr="00356B89" w14:paraId="60F0BD5B" w14:textId="77777777" w:rsidTr="00862132">
        <w:trPr>
          <w:trHeight w:val="178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CC2E5" w:themeFill="accent5" w:themeFillTint="99"/>
            <w:vAlign w:val="center"/>
          </w:tcPr>
          <w:p w14:paraId="416D8C3D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PL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CC2E5" w:themeFill="accent5" w:themeFillTint="99"/>
            <w:vAlign w:val="center"/>
          </w:tcPr>
          <w:p w14:paraId="22A9CE9D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Rzeka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CC2E5" w:themeFill="accent5" w:themeFillTint="99"/>
            <w:vAlign w:val="center"/>
          </w:tcPr>
          <w:p w14:paraId="67681754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punktu pomiarowego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CC2E5" w:themeFill="accent5" w:themeFillTint="99"/>
            <w:vAlign w:val="center"/>
          </w:tcPr>
          <w:p w14:paraId="1F53D77F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Kod punktu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CC2E5" w:themeFill="accent5" w:themeFillTint="99"/>
            <w:vAlign w:val="center"/>
          </w:tcPr>
          <w:p w14:paraId="6E7EDEC7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Długość geograficzna punktu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CC2E5" w:themeFill="accent5" w:themeFillTint="99"/>
            <w:vAlign w:val="center"/>
          </w:tcPr>
          <w:p w14:paraId="1435689D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Szerokość geograficzna punktu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CC2E5" w:themeFill="accent5" w:themeFillTint="99"/>
            <w:vAlign w:val="center"/>
          </w:tcPr>
          <w:p w14:paraId="5FFB0D4D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Kilometraż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CC2E5" w:themeFill="accent5" w:themeFillTint="99"/>
            <w:vAlign w:val="center"/>
          </w:tcPr>
          <w:p w14:paraId="3D3A1AA4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Jednolita część wód powierzchniowych (jcwp)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791CCCFB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Kod jcwp</w:t>
            </w:r>
          </w:p>
        </w:tc>
      </w:tr>
      <w:tr w:rsidR="00EE6398" w:rsidRPr="00EE6398" w14:paraId="14C1BAD8" w14:textId="77777777" w:rsidTr="00862132">
        <w:trPr>
          <w:trHeight w:val="368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9D35C9" w14:textId="77777777" w:rsidR="004B503A" w:rsidRPr="00EE6398" w:rsidRDefault="004B503A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EE639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CZ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251ECF" w14:textId="5F54B4A2" w:rsidR="004B503A" w:rsidRPr="00EE6398" w:rsidRDefault="004B503A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EE6398">
              <w:rPr>
                <w:rFonts w:ascii="Arial" w:hAnsi="Arial" w:cs="Arial"/>
                <w:sz w:val="16"/>
                <w:szCs w:val="16"/>
              </w:rPr>
              <w:t>Lužická Nisa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B1BCD47" w14:textId="456BDD60" w:rsidR="004B503A" w:rsidRPr="00EE6398" w:rsidRDefault="004B503A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EE6398">
              <w:rPr>
                <w:rFonts w:ascii="Arial" w:hAnsi="Arial" w:cs="Arial"/>
                <w:sz w:val="16"/>
                <w:szCs w:val="16"/>
              </w:rPr>
              <w:t>Lužická Nisa - Hrádek/Porájow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F1415" w14:textId="78F926D2" w:rsidR="004B503A" w:rsidRPr="00EE6398" w:rsidRDefault="004B503A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EE6398">
              <w:rPr>
                <w:rFonts w:ascii="Arial" w:hAnsi="Arial" w:cs="Arial"/>
                <w:sz w:val="16"/>
                <w:szCs w:val="16"/>
              </w:rPr>
              <w:t>PLA_41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5D223B4" w14:textId="77777777" w:rsidR="004B503A" w:rsidRPr="00EE6398" w:rsidRDefault="004B503A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EE639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14,82276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9B05B19" w14:textId="77777777" w:rsidR="004B503A" w:rsidRPr="00EE6398" w:rsidRDefault="004B503A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EE639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50,8708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A3BC74" w14:textId="77777777" w:rsidR="004B503A" w:rsidRPr="00EE6398" w:rsidRDefault="004B503A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EE639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197 km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D8176F8" w14:textId="709B8D53" w:rsidR="004B503A" w:rsidRPr="00EE6398" w:rsidRDefault="00EE6398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EE639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Lužická Nisa od toku Černá Nisa po Oldřichovský potok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ABDF736" w14:textId="481D951F" w:rsidR="004B503A" w:rsidRPr="00EE6398" w:rsidRDefault="004B503A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EE639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LNO_0150</w:t>
            </w:r>
          </w:p>
        </w:tc>
      </w:tr>
      <w:tr w:rsidR="00805AD1" w:rsidRPr="00356B89" w14:paraId="25C0D702" w14:textId="77777777" w:rsidTr="0013307C">
        <w:trPr>
          <w:trHeight w:val="368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729BD58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751C0BF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Nysa Łużycka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65C28D1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Nysa Łużycka - trójpunkt graniczny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96B411" w14:textId="5518AEE0" w:rsidR="00DB7AA2" w:rsidRPr="00356B89" w:rsidRDefault="00805AD1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PL02S1401_1374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886B75D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350D54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4D1F3E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AB44B30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Nysa Łużycka od granicy do Mandau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1B55D16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PLRW600003174139</w:t>
            </w:r>
          </w:p>
        </w:tc>
      </w:tr>
      <w:tr w:rsidR="00805AD1" w:rsidRPr="00356B89" w14:paraId="28AFCD07" w14:textId="77777777" w:rsidTr="0013307C">
        <w:trPr>
          <w:trHeight w:val="368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051C2D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CZ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16E0E2" w14:textId="4AD5EA33" w:rsidR="00DB7AA2" w:rsidRPr="00356B89" w:rsidRDefault="00EE6398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EE639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Smědá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BE25BB" w14:textId="75B3CCDB" w:rsidR="00DB7AA2" w:rsidRPr="00356B89" w:rsidRDefault="00EE6398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EE639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Smědá - Černousy/Zawidów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2BA326D" w14:textId="0ADA57A1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PLA</w:t>
            </w:r>
            <w:r w:rsidR="00E727D0"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_</w:t>
            </w: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42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C2D61FA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15,03347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414A09F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51,01619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6629D59" w14:textId="7540429B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10,9 </w:t>
            </w:r>
            <w:r w:rsid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</w:t>
            </w: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3B31E8" w14:textId="6DA834E5" w:rsidR="00DB7AA2" w:rsidRPr="00356B89" w:rsidRDefault="00EE6398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EE639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Smědá od toku Sloupský potok po státní hranici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9F64B33" w14:textId="2B586D6B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LNO</w:t>
            </w:r>
            <w:r w:rsidR="00E727D0"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_</w:t>
            </w: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0280</w:t>
            </w:r>
          </w:p>
        </w:tc>
      </w:tr>
      <w:tr w:rsidR="00805AD1" w:rsidRPr="00356B89" w14:paraId="1658F457" w14:textId="77777777" w:rsidTr="0013307C">
        <w:trPr>
          <w:trHeight w:val="368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5955CA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3D14D4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Witka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B54D8F7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Witka - m. Černousy-Zawidów (wodowskaz)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1144E4E" w14:textId="0CEEF9A2" w:rsidR="00DB7AA2" w:rsidRPr="00356B89" w:rsidRDefault="00805AD1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bookmarkStart w:id="2" w:name="_Hlk145584103"/>
            <w:r w:rsidRP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PL02S1401_1381</w:t>
            </w:r>
            <w:bookmarkEnd w:id="2"/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CC042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38671D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DD893C8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AA4E19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Witka od granicy państwa do ujścia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8830B65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PLRW60000317429</w:t>
            </w:r>
          </w:p>
        </w:tc>
      </w:tr>
      <w:tr w:rsidR="00805AD1" w:rsidRPr="00356B89" w14:paraId="2672D9F4" w14:textId="77777777" w:rsidTr="0013307C">
        <w:trPr>
          <w:trHeight w:val="368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A26E7E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CZ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B75BD28" w14:textId="2F3AEEA3" w:rsidR="00DB7AA2" w:rsidRPr="00356B89" w:rsidRDefault="00805AD1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Stěnava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51DE" w14:textId="51A456BE" w:rsidR="00DB7AA2" w:rsidRPr="00356B89" w:rsidRDefault="00805AD1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Stěnava - Otovice/Tlumaczów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4DF7D2E" w14:textId="4A7A559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PLA</w:t>
            </w:r>
            <w:r w:rsidR="00E727D0"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_</w:t>
            </w: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52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D204C9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16,41346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0E59E8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50,54999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9BC651" w14:textId="36A444FF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25,2 </w:t>
            </w:r>
            <w:r w:rsid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</w:t>
            </w: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13CB46" w14:textId="64CCE02C" w:rsidR="00DB7AA2" w:rsidRPr="00356B89" w:rsidRDefault="00805AD1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Stěnava od státní hranice po státní hranici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269F899" w14:textId="61B42B50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LNO</w:t>
            </w:r>
            <w:r w:rsidR="00E727D0"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_</w:t>
            </w: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0010</w:t>
            </w:r>
          </w:p>
        </w:tc>
      </w:tr>
      <w:tr w:rsidR="00805AD1" w:rsidRPr="00356B89" w14:paraId="5A5010AF" w14:textId="77777777" w:rsidTr="0013307C">
        <w:trPr>
          <w:trHeight w:val="368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F202D59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7882A7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Ścinawka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A3919E9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Ścinawka - powyżej Tłumaczowa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BA3BFF0" w14:textId="3180FE5F" w:rsidR="00DB7AA2" w:rsidRPr="00356B89" w:rsidRDefault="00805AD1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bookmarkStart w:id="3" w:name="_Hlk145584130"/>
            <w:r w:rsidRP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PL02S1401_1237</w:t>
            </w:r>
            <w:bookmarkEnd w:id="3"/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0707D1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CC3CE84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D685E2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6DAE01B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Ścinawka od Bożanowskiego Potoku do ujścia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5D43DB5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PLRW60000312299</w:t>
            </w:r>
          </w:p>
        </w:tc>
      </w:tr>
      <w:tr w:rsidR="00805AD1" w:rsidRPr="00356B89" w14:paraId="11A7AAB7" w14:textId="77777777" w:rsidTr="0013307C">
        <w:trPr>
          <w:trHeight w:val="368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C9CF1CD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CZ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F5125A" w14:textId="47E4C1A8" w:rsidR="00DB7AA2" w:rsidRPr="00356B89" w:rsidRDefault="00805AD1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Bělá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3CDC81C" w14:textId="19431BFB" w:rsidR="00DB7AA2" w:rsidRPr="00356B89" w:rsidRDefault="00805AD1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Bělá - Glucholazy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82A39A" w14:textId="10085403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</w:t>
            </w:r>
            <w:r w:rsidR="00E727D0"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_</w:t>
            </w: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5521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6CB2515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17,366484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A5A842C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50,313068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8D7B42" w14:textId="767C2485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21,0 </w:t>
            </w:r>
            <w:r w:rsid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</w:t>
            </w: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BE3C57" w14:textId="64C636F0" w:rsidR="00DB7AA2" w:rsidRPr="00356B89" w:rsidRDefault="00805AD1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Bělá od toku Staříč po státní hranici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81D9346" w14:textId="767DBEED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HOD</w:t>
            </w:r>
            <w:r w:rsidR="00E727D0"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_</w:t>
            </w: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1090</w:t>
            </w:r>
          </w:p>
        </w:tc>
      </w:tr>
      <w:tr w:rsidR="00805AD1" w:rsidRPr="00356B89" w14:paraId="400F3BC1" w14:textId="77777777" w:rsidTr="0013307C">
        <w:trPr>
          <w:trHeight w:val="368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4CF07D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AB2EC96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Biała Głuchołaska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2B1606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Biała Głuchołaska - Głuchołazy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8F8D4B9" w14:textId="02563ACB" w:rsidR="00DB7AA2" w:rsidRPr="00356B89" w:rsidRDefault="00805AD1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PL02S1201_1032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059073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83846A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7B9B12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F8BCBC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Biała Głuchołaska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E6D3ECD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PLRW600003125989</w:t>
            </w:r>
          </w:p>
        </w:tc>
      </w:tr>
      <w:tr w:rsidR="00805AD1" w:rsidRPr="00356B89" w14:paraId="67783293" w14:textId="77777777" w:rsidTr="0013307C">
        <w:trPr>
          <w:trHeight w:val="368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742991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CZ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A6B59F8" w14:textId="7DAA9D75" w:rsidR="00DB7AA2" w:rsidRPr="00356B89" w:rsidRDefault="00805AD1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Zlatý potok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3676512" w14:textId="518AD3FE" w:rsidR="00DB7AA2" w:rsidRPr="00356B89" w:rsidRDefault="00805AD1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Zlatý potok - nad státní hranicí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9D458B" w14:textId="54002BCB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</w:t>
            </w:r>
            <w:r w:rsidR="00E727D0"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_</w:t>
            </w: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5501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C81D5D0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17,39553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F47130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50,27203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BA73C77" w14:textId="60E257CE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17,0 </w:t>
            </w:r>
            <w:r w:rsid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</w:t>
            </w: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C78F27" w14:textId="02F7CE42" w:rsidR="00DB7AA2" w:rsidRPr="00356B89" w:rsidRDefault="00805AD1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Zlatý potok od pramene po státní hranici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7CB90A0" w14:textId="4DCF4F0C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HOD</w:t>
            </w:r>
            <w:r w:rsidR="00E727D0"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_</w:t>
            </w: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0930</w:t>
            </w:r>
          </w:p>
        </w:tc>
      </w:tr>
      <w:tr w:rsidR="00805AD1" w:rsidRPr="00356B89" w14:paraId="624D4F67" w14:textId="77777777" w:rsidTr="0013307C">
        <w:trPr>
          <w:trHeight w:val="368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391330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A1CD7C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Złoty Potok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354FEF6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Złoty Potok - powyżej granicy RP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EC61962" w14:textId="7A533119" w:rsidR="00DB7AA2" w:rsidRPr="00356B89" w:rsidRDefault="00805AD1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PL02S1201_1091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C87B60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31E340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E7CBC5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180FCE9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Prudnik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C736743" w14:textId="0C12E003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PLRW600003117649</w:t>
            </w:r>
          </w:p>
        </w:tc>
      </w:tr>
      <w:tr w:rsidR="00805AD1" w:rsidRPr="00356B89" w14:paraId="6B6B79B8" w14:textId="77777777" w:rsidTr="0013307C">
        <w:trPr>
          <w:trHeight w:val="368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AEC08FF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CZ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C21EBA9" w14:textId="5BECCF98" w:rsidR="00DB7AA2" w:rsidRPr="00356B89" w:rsidRDefault="00805AD1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Olše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C5AA81C" w14:textId="7643610F" w:rsidR="00DB7AA2" w:rsidRPr="00356B89" w:rsidRDefault="00CF19CB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Olše - nad Petrůvkou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EFFB5C" w14:textId="62D15913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</w:t>
            </w:r>
            <w:r w:rsidR="00E727D0"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_</w:t>
            </w: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5526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D8AD34E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18,4784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D96433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49,91103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BE5E4F3" w14:textId="11548B75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16,8 </w:t>
            </w:r>
            <w:r w:rsid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</w:t>
            </w: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D8D11BF" w14:textId="6CFFA5BB" w:rsidR="00DB7AA2" w:rsidRPr="00356B89" w:rsidRDefault="00805AD1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Olše od státní hranice po tok Petrůvka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7EEB391" w14:textId="356185D3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HOD</w:t>
            </w:r>
            <w:r w:rsidR="00E727D0"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_</w:t>
            </w: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0840</w:t>
            </w:r>
          </w:p>
        </w:tc>
      </w:tr>
      <w:tr w:rsidR="00805AD1" w:rsidRPr="00356B89" w14:paraId="4F16A70D" w14:textId="77777777" w:rsidTr="0013307C">
        <w:trPr>
          <w:trHeight w:val="368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2982F4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918EE6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Olza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23F99B" w14:textId="26A07F61" w:rsidR="00DB7AA2" w:rsidRPr="00356B89" w:rsidRDefault="00CF19CB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Olza - powyżej Piotrówki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22B6016" w14:textId="12304C69" w:rsidR="00DB7AA2" w:rsidRPr="00356B89" w:rsidRDefault="00805AD1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bookmarkStart w:id="4" w:name="_Hlk145584233"/>
            <w:r w:rsidRP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PL02S1301_1130</w:t>
            </w:r>
            <w:bookmarkEnd w:id="4"/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5120F5A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E39DC7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28A9F7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E0D5E4B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nie wydzielona po stronie PL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1E73CDC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val="cs-CZ" w:eastAsia="cs-CZ"/>
              </w:rPr>
              <w:t>-</w:t>
            </w:r>
          </w:p>
        </w:tc>
      </w:tr>
      <w:tr w:rsidR="00805AD1" w:rsidRPr="00356B89" w14:paraId="762D020D" w14:textId="77777777" w:rsidTr="0013307C">
        <w:trPr>
          <w:trHeight w:val="368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13838D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CZ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AA8C4C" w14:textId="200558FD" w:rsidR="00DB7AA2" w:rsidRPr="00356B89" w:rsidRDefault="00805AD1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Olše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FD4EB71" w14:textId="790087AC" w:rsidR="00DB7AA2" w:rsidRPr="00356B89" w:rsidRDefault="00805AD1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Olše - ústí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65931DA" w14:textId="342F3856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</w:t>
            </w:r>
            <w:r w:rsidR="00E727D0"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_</w:t>
            </w: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5407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DA764E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18,337728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5F9365A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49,945753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A6CE05" w14:textId="2B88B106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0,5 </w:t>
            </w:r>
            <w:r w:rsid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</w:t>
            </w: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E3A7FEA" w14:textId="3C147B7C" w:rsidR="00DB7AA2" w:rsidRPr="00356B89" w:rsidRDefault="00862132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8621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Olše od toku Petrůvka po ústí do toku Odra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54A15A4" w14:textId="37865C32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HOD</w:t>
            </w:r>
            <w:r w:rsidR="00E727D0"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_</w:t>
            </w: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0870</w:t>
            </w:r>
          </w:p>
        </w:tc>
      </w:tr>
      <w:tr w:rsidR="00805AD1" w:rsidRPr="00356B89" w14:paraId="07DBFC40" w14:textId="77777777" w:rsidTr="0013307C">
        <w:trPr>
          <w:trHeight w:val="368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7B4A5E2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4C9E01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Olza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E564A1B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Olza - ujście do Odry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65BB0F" w14:textId="6AB42AD6" w:rsidR="00DB7AA2" w:rsidRPr="00356B89" w:rsidRDefault="00805AD1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PL02S1301_1134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C612B4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5C85EBA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2E6EF85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7F9502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Olza - odcinek graniczny od Piotrówki do ujścia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98469CF" w14:textId="388BC80D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PLRW60000611499</w:t>
            </w:r>
          </w:p>
        </w:tc>
      </w:tr>
      <w:tr w:rsidR="00805AD1" w:rsidRPr="00356B89" w14:paraId="0CCA484E" w14:textId="77777777" w:rsidTr="0013307C">
        <w:trPr>
          <w:trHeight w:val="368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68D2C2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CZ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96A1618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Odra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E8AB5" w14:textId="22715C2F" w:rsidR="00DB7AA2" w:rsidRPr="00356B89" w:rsidRDefault="00805AD1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Odra - Bohumín/Chalupky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7C227C" w14:textId="04D92898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</w:t>
            </w:r>
            <w:r w:rsidR="00E727D0"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_</w:t>
            </w: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1163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43DBFF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18,327093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5B7D29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49,920072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4DD583A" w14:textId="1E33B108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20,0 </w:t>
            </w:r>
            <w:r w:rsid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</w:t>
            </w: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A8E63BD" w14:textId="430B3102" w:rsidR="00DB7AA2" w:rsidRPr="00356B89" w:rsidRDefault="00862132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8621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Odra od státní hranice po tok Olše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3952C1F" w14:textId="6FDF84C1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HOD</w:t>
            </w:r>
            <w:r w:rsidR="00E727D0"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_</w:t>
            </w: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0720</w:t>
            </w:r>
          </w:p>
        </w:tc>
      </w:tr>
      <w:tr w:rsidR="00805AD1" w:rsidRPr="00356B89" w14:paraId="2D480C8A" w14:textId="77777777" w:rsidTr="0013307C">
        <w:trPr>
          <w:trHeight w:val="368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7447DCD" w14:textId="77777777" w:rsidR="00DB7AA2" w:rsidRPr="00356B89" w:rsidRDefault="00F56E7D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99AF46C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Odra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89F89A2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Odra - w Chałupkach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6FE0BE" w14:textId="3B66F073" w:rsidR="00DB7AA2" w:rsidRPr="00356B89" w:rsidRDefault="00805AD1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bookmarkStart w:id="5" w:name="_Hlk145584281"/>
            <w:r w:rsidRPr="00805A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PL02S1301_1123</w:t>
            </w:r>
            <w:bookmarkEnd w:id="5"/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E0DD181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32B4511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E0552C0" w14:textId="77777777" w:rsidR="00DB7AA2" w:rsidRPr="00356B89" w:rsidRDefault="00DB7AA2" w:rsidP="008621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D4464B8" w14:textId="77777777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Odra od granicy do Kanału Gliwickiego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8BFF0" w14:textId="7FC38D5B" w:rsidR="00DB7AA2" w:rsidRPr="00356B89" w:rsidRDefault="00F56E7D" w:rsidP="008621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cs-CZ"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PLRW600011117159</w:t>
            </w:r>
          </w:p>
        </w:tc>
      </w:tr>
    </w:tbl>
    <w:p w14:paraId="33E038BF" w14:textId="586254A8" w:rsidR="00E727D0" w:rsidRDefault="00E727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695C8A3" w14:textId="190987BB" w:rsidR="00DB7AA2" w:rsidRPr="00C40A55" w:rsidRDefault="00F56E7D" w:rsidP="00DB7AA2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bookmarkStart w:id="6" w:name="_GoBack"/>
      <w:r w:rsidRPr="00C40A55">
        <w:rPr>
          <w:rFonts w:ascii="Times New Roman" w:eastAsia="Times New Roman" w:hAnsi="Times New Roman" w:cs="Times New Roman"/>
          <w:b/>
          <w:bCs/>
        </w:rPr>
        <w:lastRenderedPageBreak/>
        <w:t>Tabela 2 Częstotliwość i zakres wskaźników badanych w przekrojach granicznych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2259"/>
        <w:gridCol w:w="2405"/>
        <w:gridCol w:w="986"/>
        <w:gridCol w:w="989"/>
        <w:gridCol w:w="963"/>
        <w:gridCol w:w="920"/>
        <w:gridCol w:w="1129"/>
        <w:gridCol w:w="1414"/>
        <w:gridCol w:w="1272"/>
        <w:gridCol w:w="844"/>
        <w:gridCol w:w="813"/>
      </w:tblGrid>
      <w:tr w:rsidR="002529A6" w:rsidRPr="00356B89" w14:paraId="466E17E9" w14:textId="77777777" w:rsidTr="00862132">
        <w:trPr>
          <w:trHeight w:val="842"/>
        </w:trPr>
        <w:tc>
          <w:tcPr>
            <w:tcW w:w="2024" w:type="pct"/>
            <w:gridSpan w:val="3"/>
            <w:shd w:val="clear" w:color="auto" w:fill="5A9BD5"/>
            <w:vAlign w:val="center"/>
          </w:tcPr>
          <w:bookmarkEnd w:id="6"/>
          <w:p w14:paraId="420DCEE3" w14:textId="145054AC" w:rsidR="00DB7AA2" w:rsidRPr="00356B89" w:rsidRDefault="00F56E7D" w:rsidP="00DB7AA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Ciek/Rzeka</w:t>
            </w:r>
          </w:p>
        </w:tc>
        <w:tc>
          <w:tcPr>
            <w:tcW w:w="355" w:type="pct"/>
            <w:shd w:val="clear" w:color="auto" w:fill="5A9BD5"/>
            <w:vAlign w:val="center"/>
          </w:tcPr>
          <w:p w14:paraId="26C6BAD3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Lužická</w:t>
            </w:r>
          </w:p>
          <w:p w14:paraId="30F9FAC2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Nisa</w:t>
            </w:r>
          </w:p>
          <w:p w14:paraId="3824F2C4" w14:textId="2FF80589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/Nysa Łużycka/</w:t>
            </w:r>
          </w:p>
        </w:tc>
        <w:tc>
          <w:tcPr>
            <w:tcW w:w="346" w:type="pct"/>
            <w:shd w:val="clear" w:color="auto" w:fill="5A9BD5"/>
            <w:vAlign w:val="center"/>
          </w:tcPr>
          <w:p w14:paraId="7C82157A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Smědá</w:t>
            </w:r>
          </w:p>
          <w:p w14:paraId="257EF18B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/Witka/</w:t>
            </w:r>
          </w:p>
        </w:tc>
        <w:tc>
          <w:tcPr>
            <w:tcW w:w="312" w:type="pct"/>
            <w:shd w:val="clear" w:color="auto" w:fill="5A9BD5"/>
            <w:vAlign w:val="center"/>
          </w:tcPr>
          <w:p w14:paraId="12051DAB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Stěnava</w:t>
            </w:r>
          </w:p>
          <w:p w14:paraId="694FD720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/Ścinawka/</w:t>
            </w:r>
          </w:p>
        </w:tc>
        <w:tc>
          <w:tcPr>
            <w:tcW w:w="405" w:type="pct"/>
            <w:shd w:val="clear" w:color="auto" w:fill="5A9BD5"/>
            <w:vAlign w:val="center"/>
          </w:tcPr>
          <w:p w14:paraId="36FCD4B2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Bělá /Biała Głuchołaska/</w:t>
            </w:r>
          </w:p>
        </w:tc>
        <w:tc>
          <w:tcPr>
            <w:tcW w:w="507" w:type="pct"/>
            <w:shd w:val="clear" w:color="auto" w:fill="5A9BD5"/>
            <w:vAlign w:val="center"/>
          </w:tcPr>
          <w:p w14:paraId="1C7883FD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Zlatý potok /Złoty Potok/</w:t>
            </w:r>
          </w:p>
        </w:tc>
        <w:tc>
          <w:tcPr>
            <w:tcW w:w="456" w:type="pct"/>
            <w:shd w:val="clear" w:color="auto" w:fill="5A9BD5"/>
            <w:vAlign w:val="center"/>
          </w:tcPr>
          <w:p w14:paraId="566C33C9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Olše /Olza/</w:t>
            </w:r>
          </w:p>
        </w:tc>
        <w:tc>
          <w:tcPr>
            <w:tcW w:w="303" w:type="pct"/>
            <w:shd w:val="clear" w:color="auto" w:fill="5A9BD5"/>
            <w:vAlign w:val="center"/>
          </w:tcPr>
          <w:p w14:paraId="100B8CAD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Olše /Olza/</w:t>
            </w:r>
          </w:p>
        </w:tc>
        <w:tc>
          <w:tcPr>
            <w:tcW w:w="292" w:type="pct"/>
            <w:shd w:val="clear" w:color="auto" w:fill="5A9BD5"/>
            <w:vAlign w:val="center"/>
          </w:tcPr>
          <w:p w14:paraId="2620767B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Odra</w:t>
            </w:r>
          </w:p>
        </w:tc>
      </w:tr>
      <w:tr w:rsidR="002529A6" w:rsidRPr="00356B89" w14:paraId="75260B33" w14:textId="77777777" w:rsidTr="00862132">
        <w:trPr>
          <w:trHeight w:val="648"/>
        </w:trPr>
        <w:tc>
          <w:tcPr>
            <w:tcW w:w="2024" w:type="pct"/>
            <w:gridSpan w:val="3"/>
            <w:shd w:val="clear" w:color="auto" w:fill="5A9BD5"/>
            <w:vAlign w:val="center"/>
          </w:tcPr>
          <w:p w14:paraId="5BDF5CD1" w14:textId="681F1D67" w:rsidR="00DB7AA2" w:rsidRPr="00356B89" w:rsidRDefault="00F56E7D" w:rsidP="00DB7AA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Profil / Przekrój</w:t>
            </w:r>
          </w:p>
        </w:tc>
        <w:tc>
          <w:tcPr>
            <w:tcW w:w="355" w:type="pct"/>
            <w:shd w:val="clear" w:color="auto" w:fill="5A9BD5"/>
            <w:vAlign w:val="center"/>
          </w:tcPr>
          <w:p w14:paraId="37E87499" w14:textId="6BB2955C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Hrádek- Porajów</w:t>
            </w:r>
          </w:p>
        </w:tc>
        <w:tc>
          <w:tcPr>
            <w:tcW w:w="346" w:type="pct"/>
            <w:shd w:val="clear" w:color="auto" w:fill="5A9BD5"/>
            <w:vAlign w:val="center"/>
          </w:tcPr>
          <w:p w14:paraId="53CDB6ED" w14:textId="7B4203AB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Černousy- Zawidów</w:t>
            </w:r>
          </w:p>
        </w:tc>
        <w:tc>
          <w:tcPr>
            <w:tcW w:w="312" w:type="pct"/>
            <w:shd w:val="clear" w:color="auto" w:fill="5A9BD5"/>
            <w:vAlign w:val="center"/>
          </w:tcPr>
          <w:p w14:paraId="15EF8023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Otovice - Tlumaczow</w:t>
            </w:r>
          </w:p>
        </w:tc>
        <w:tc>
          <w:tcPr>
            <w:tcW w:w="405" w:type="pct"/>
            <w:shd w:val="clear" w:color="auto" w:fill="5A9BD5"/>
            <w:vAlign w:val="center"/>
          </w:tcPr>
          <w:p w14:paraId="2013709F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Glucholazy - Głuchołazy</w:t>
            </w:r>
          </w:p>
        </w:tc>
        <w:tc>
          <w:tcPr>
            <w:tcW w:w="507" w:type="pct"/>
            <w:shd w:val="clear" w:color="auto" w:fill="5A9BD5"/>
            <w:vAlign w:val="center"/>
          </w:tcPr>
          <w:p w14:paraId="24D43631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nad st. hranicemi - powyżej granicy państwa</w:t>
            </w:r>
          </w:p>
        </w:tc>
        <w:tc>
          <w:tcPr>
            <w:tcW w:w="456" w:type="pct"/>
            <w:shd w:val="clear" w:color="auto" w:fill="5A9BD5"/>
            <w:vAlign w:val="center"/>
          </w:tcPr>
          <w:p w14:paraId="7C2FB2A4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nad Petrůvkou - powyżej Piotrówki</w:t>
            </w:r>
          </w:p>
        </w:tc>
        <w:tc>
          <w:tcPr>
            <w:tcW w:w="303" w:type="pct"/>
            <w:shd w:val="clear" w:color="auto" w:fill="5A9BD5"/>
            <w:vAlign w:val="center"/>
          </w:tcPr>
          <w:p w14:paraId="4CE52A4C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ústí - ujście do Odry</w:t>
            </w:r>
          </w:p>
        </w:tc>
        <w:tc>
          <w:tcPr>
            <w:tcW w:w="292" w:type="pct"/>
            <w:shd w:val="clear" w:color="auto" w:fill="5A9BD5"/>
            <w:vAlign w:val="center"/>
          </w:tcPr>
          <w:p w14:paraId="0E949508" w14:textId="2C0A7A3B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Bohumín - </w:t>
            </w:r>
            <w:r w:rsidRPr="0013307C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Cha</w:t>
            </w:r>
            <w:r w:rsidR="00B31BA3" w:rsidRPr="0013307C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ł</w:t>
            </w:r>
            <w:r w:rsidRPr="0013307C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upki</w:t>
            </w:r>
          </w:p>
        </w:tc>
      </w:tr>
      <w:tr w:rsidR="002529A6" w:rsidRPr="00356B89" w14:paraId="646C9D6A" w14:textId="77777777" w:rsidTr="00862132">
        <w:trPr>
          <w:trHeight w:val="310"/>
        </w:trPr>
        <w:tc>
          <w:tcPr>
            <w:tcW w:w="2024" w:type="pct"/>
            <w:gridSpan w:val="3"/>
            <w:shd w:val="clear" w:color="auto" w:fill="5A9BD5"/>
            <w:vAlign w:val="center"/>
          </w:tcPr>
          <w:p w14:paraId="2BACCABA" w14:textId="49F9EE26" w:rsidR="00DB7AA2" w:rsidRPr="00356B89" w:rsidRDefault="00F56E7D" w:rsidP="00DB7AA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ř. / km</w:t>
            </w:r>
          </w:p>
        </w:tc>
        <w:tc>
          <w:tcPr>
            <w:tcW w:w="355" w:type="pct"/>
            <w:shd w:val="clear" w:color="auto" w:fill="5A9BD5"/>
            <w:vAlign w:val="center"/>
          </w:tcPr>
          <w:p w14:paraId="1EEA156B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197,0</w:t>
            </w:r>
          </w:p>
        </w:tc>
        <w:tc>
          <w:tcPr>
            <w:tcW w:w="346" w:type="pct"/>
            <w:shd w:val="clear" w:color="auto" w:fill="5A9BD5"/>
            <w:vAlign w:val="center"/>
          </w:tcPr>
          <w:p w14:paraId="1544672A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10,9</w:t>
            </w:r>
          </w:p>
        </w:tc>
        <w:tc>
          <w:tcPr>
            <w:tcW w:w="312" w:type="pct"/>
            <w:shd w:val="clear" w:color="auto" w:fill="5A9BD5"/>
            <w:vAlign w:val="center"/>
          </w:tcPr>
          <w:p w14:paraId="7C36800F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25,2</w:t>
            </w:r>
          </w:p>
        </w:tc>
        <w:tc>
          <w:tcPr>
            <w:tcW w:w="405" w:type="pct"/>
            <w:shd w:val="clear" w:color="auto" w:fill="5A9BD5"/>
            <w:vAlign w:val="center"/>
          </w:tcPr>
          <w:p w14:paraId="51DBBC6E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21,0</w:t>
            </w:r>
          </w:p>
        </w:tc>
        <w:tc>
          <w:tcPr>
            <w:tcW w:w="507" w:type="pct"/>
            <w:shd w:val="clear" w:color="auto" w:fill="5A9BD5"/>
            <w:vAlign w:val="center"/>
          </w:tcPr>
          <w:p w14:paraId="75D8A0E6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14,0</w:t>
            </w:r>
          </w:p>
        </w:tc>
        <w:tc>
          <w:tcPr>
            <w:tcW w:w="456" w:type="pct"/>
            <w:shd w:val="clear" w:color="auto" w:fill="5A9BD5"/>
            <w:vAlign w:val="center"/>
          </w:tcPr>
          <w:p w14:paraId="12A188B3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16,8</w:t>
            </w:r>
          </w:p>
        </w:tc>
        <w:tc>
          <w:tcPr>
            <w:tcW w:w="303" w:type="pct"/>
            <w:shd w:val="clear" w:color="auto" w:fill="5A9BD5"/>
            <w:vAlign w:val="center"/>
          </w:tcPr>
          <w:p w14:paraId="5A05F94B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292" w:type="pct"/>
            <w:shd w:val="clear" w:color="auto" w:fill="5A9BD5"/>
            <w:vAlign w:val="center"/>
          </w:tcPr>
          <w:p w14:paraId="323989EA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20,0</w:t>
            </w:r>
          </w:p>
        </w:tc>
      </w:tr>
      <w:tr w:rsidR="002529A6" w:rsidRPr="00356B89" w14:paraId="473824AA" w14:textId="77777777" w:rsidTr="00862132">
        <w:trPr>
          <w:trHeight w:val="230"/>
        </w:trPr>
        <w:tc>
          <w:tcPr>
            <w:tcW w:w="809" w:type="pct"/>
            <w:shd w:val="clear" w:color="auto" w:fill="BDD6EE" w:themeFill="accent5" w:themeFillTint="66"/>
          </w:tcPr>
          <w:p w14:paraId="35DFC952" w14:textId="77777777" w:rsidR="002529A6" w:rsidRPr="00356B89" w:rsidRDefault="002529A6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Ukazatele</w:t>
            </w:r>
          </w:p>
        </w:tc>
        <w:tc>
          <w:tcPr>
            <w:tcW w:w="861" w:type="pct"/>
            <w:shd w:val="clear" w:color="auto" w:fill="BDD6EE" w:themeFill="accent5" w:themeFillTint="66"/>
          </w:tcPr>
          <w:p w14:paraId="653B1226" w14:textId="77777777" w:rsidR="002529A6" w:rsidRPr="00356B89" w:rsidRDefault="002529A6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Wskaźniki</w:t>
            </w:r>
          </w:p>
        </w:tc>
        <w:tc>
          <w:tcPr>
            <w:tcW w:w="354" w:type="pct"/>
            <w:shd w:val="clear" w:color="auto" w:fill="BDD6EE" w:themeFill="accent5" w:themeFillTint="66"/>
          </w:tcPr>
          <w:p w14:paraId="263420F6" w14:textId="77777777" w:rsidR="002529A6" w:rsidRPr="00356B89" w:rsidRDefault="002529A6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Jednostka</w:t>
            </w:r>
          </w:p>
        </w:tc>
        <w:tc>
          <w:tcPr>
            <w:tcW w:w="2976" w:type="pct"/>
            <w:gridSpan w:val="8"/>
            <w:shd w:val="clear" w:color="auto" w:fill="BDD6EE" w:themeFill="accent5" w:themeFillTint="66"/>
            <w:vAlign w:val="center"/>
          </w:tcPr>
          <w:p w14:paraId="14A2DE55" w14:textId="76C91CB6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Częstotliwość monitorowania</w:t>
            </w:r>
          </w:p>
        </w:tc>
      </w:tr>
      <w:tr w:rsidR="006B2DDC" w:rsidRPr="00356B89" w14:paraId="096EA22F" w14:textId="77777777" w:rsidTr="00862132">
        <w:trPr>
          <w:trHeight w:val="230"/>
        </w:trPr>
        <w:tc>
          <w:tcPr>
            <w:tcW w:w="5000" w:type="pct"/>
            <w:gridSpan w:val="11"/>
            <w:shd w:val="clear" w:color="auto" w:fill="BDD6EE" w:themeFill="accent5" w:themeFillTint="66"/>
            <w:vAlign w:val="center"/>
          </w:tcPr>
          <w:p w14:paraId="62343F56" w14:textId="7507DCFB" w:rsidR="006B2DDC" w:rsidRPr="00356B89" w:rsidRDefault="006B2DDC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wskaźniki fizykochemiczne</w:t>
            </w:r>
          </w:p>
        </w:tc>
      </w:tr>
      <w:tr w:rsidR="002529A6" w:rsidRPr="00356B89" w14:paraId="10942D54" w14:textId="77777777" w:rsidTr="00862132">
        <w:trPr>
          <w:trHeight w:val="226"/>
        </w:trPr>
        <w:tc>
          <w:tcPr>
            <w:tcW w:w="809" w:type="pct"/>
            <w:shd w:val="clear" w:color="auto" w:fill="FFFFFF"/>
            <w:vAlign w:val="bottom"/>
          </w:tcPr>
          <w:p w14:paraId="745093AD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teplota</w:t>
            </w:r>
          </w:p>
        </w:tc>
        <w:tc>
          <w:tcPr>
            <w:tcW w:w="861" w:type="pct"/>
            <w:shd w:val="clear" w:color="auto" w:fill="FFFFFF"/>
            <w:vAlign w:val="bottom"/>
          </w:tcPr>
          <w:p w14:paraId="523E534D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354" w:type="pct"/>
            <w:shd w:val="clear" w:color="auto" w:fill="FFFFFF"/>
            <w:vAlign w:val="center"/>
          </w:tcPr>
          <w:p w14:paraId="3C0E89C3" w14:textId="77777777" w:rsidR="00DB7AA2" w:rsidRPr="00356B89" w:rsidRDefault="00F56E7D" w:rsidP="006B2DD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355" w:type="pct"/>
            <w:shd w:val="clear" w:color="auto" w:fill="FFFFFF"/>
            <w:vAlign w:val="center"/>
          </w:tcPr>
          <w:p w14:paraId="14C7E10C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53114FB7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12" w:type="pct"/>
            <w:shd w:val="clear" w:color="auto" w:fill="FFFFFF"/>
            <w:vAlign w:val="center"/>
          </w:tcPr>
          <w:p w14:paraId="5A2C0ED3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405" w:type="pct"/>
            <w:shd w:val="clear" w:color="auto" w:fill="FFFFFF"/>
            <w:vAlign w:val="center"/>
          </w:tcPr>
          <w:p w14:paraId="67418B58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507" w:type="pct"/>
            <w:shd w:val="clear" w:color="auto" w:fill="FFFFFF"/>
            <w:vAlign w:val="center"/>
          </w:tcPr>
          <w:p w14:paraId="588B8EE0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7CF51464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03" w:type="pct"/>
            <w:shd w:val="clear" w:color="auto" w:fill="FFFFFF"/>
            <w:vAlign w:val="center"/>
          </w:tcPr>
          <w:p w14:paraId="611C4B8B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92" w:type="pct"/>
            <w:shd w:val="clear" w:color="auto" w:fill="FFFFFF"/>
            <w:vAlign w:val="center"/>
          </w:tcPr>
          <w:p w14:paraId="158B0038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2529A6" w:rsidRPr="00356B89" w14:paraId="302484D0" w14:textId="77777777" w:rsidTr="00862132">
        <w:trPr>
          <w:trHeight w:val="230"/>
        </w:trPr>
        <w:tc>
          <w:tcPr>
            <w:tcW w:w="809" w:type="pct"/>
            <w:shd w:val="clear" w:color="auto" w:fill="FFFFFF"/>
            <w:vAlign w:val="center"/>
          </w:tcPr>
          <w:p w14:paraId="1F9B9FD9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nerozpuštěné látky</w:t>
            </w:r>
          </w:p>
        </w:tc>
        <w:tc>
          <w:tcPr>
            <w:tcW w:w="861" w:type="pct"/>
            <w:shd w:val="clear" w:color="auto" w:fill="FFFFFF"/>
            <w:vAlign w:val="center"/>
          </w:tcPr>
          <w:p w14:paraId="30500161" w14:textId="6B8AD16B" w:rsidR="00DB7AA2" w:rsidRPr="00356B89" w:rsidRDefault="00A1223B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Zawiesina ogólna</w:t>
            </w:r>
          </w:p>
        </w:tc>
        <w:tc>
          <w:tcPr>
            <w:tcW w:w="354" w:type="pct"/>
            <w:shd w:val="clear" w:color="auto" w:fill="FFFFFF"/>
            <w:vAlign w:val="center"/>
          </w:tcPr>
          <w:p w14:paraId="0851ACE6" w14:textId="77777777" w:rsidR="00DB7AA2" w:rsidRPr="00356B89" w:rsidRDefault="00F56E7D" w:rsidP="006B2DD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355" w:type="pct"/>
            <w:shd w:val="clear" w:color="auto" w:fill="FFFFFF"/>
            <w:vAlign w:val="center"/>
          </w:tcPr>
          <w:p w14:paraId="4062B20C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5553C92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12" w:type="pct"/>
            <w:shd w:val="clear" w:color="auto" w:fill="FFFFFF"/>
            <w:vAlign w:val="center"/>
          </w:tcPr>
          <w:p w14:paraId="52016815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405" w:type="pct"/>
            <w:shd w:val="clear" w:color="auto" w:fill="FFFFFF"/>
            <w:vAlign w:val="center"/>
          </w:tcPr>
          <w:p w14:paraId="1B02CC91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507" w:type="pct"/>
            <w:shd w:val="clear" w:color="auto" w:fill="FFFFFF"/>
            <w:vAlign w:val="center"/>
          </w:tcPr>
          <w:p w14:paraId="556E8F78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0D82E2A9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03" w:type="pct"/>
            <w:shd w:val="clear" w:color="auto" w:fill="FFFFFF"/>
            <w:vAlign w:val="center"/>
          </w:tcPr>
          <w:p w14:paraId="713E2EBB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92" w:type="pct"/>
            <w:shd w:val="clear" w:color="auto" w:fill="FFFFFF"/>
            <w:vAlign w:val="center"/>
          </w:tcPr>
          <w:p w14:paraId="7993A4C1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2529A6" w:rsidRPr="00356B89" w14:paraId="10C601A2" w14:textId="77777777" w:rsidTr="00862132">
        <w:trPr>
          <w:trHeight w:val="226"/>
        </w:trPr>
        <w:tc>
          <w:tcPr>
            <w:tcW w:w="809" w:type="pct"/>
            <w:shd w:val="clear" w:color="auto" w:fill="FFFFFF"/>
            <w:vAlign w:val="bottom"/>
          </w:tcPr>
          <w:p w14:paraId="0407ED6B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rozpuštěný kyslík</w:t>
            </w:r>
          </w:p>
        </w:tc>
        <w:tc>
          <w:tcPr>
            <w:tcW w:w="861" w:type="pct"/>
            <w:shd w:val="clear" w:color="auto" w:fill="FFFFFF"/>
            <w:vAlign w:val="bottom"/>
          </w:tcPr>
          <w:p w14:paraId="3F2BCAC8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Tlen rozpuszczony</w:t>
            </w:r>
          </w:p>
        </w:tc>
        <w:tc>
          <w:tcPr>
            <w:tcW w:w="354" w:type="pct"/>
            <w:shd w:val="clear" w:color="auto" w:fill="FFFFFF"/>
            <w:vAlign w:val="center"/>
          </w:tcPr>
          <w:p w14:paraId="0E0F3B3E" w14:textId="77777777" w:rsidR="00DB7AA2" w:rsidRPr="00356B89" w:rsidRDefault="00F56E7D" w:rsidP="006B2DD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355" w:type="pct"/>
            <w:shd w:val="clear" w:color="auto" w:fill="FFFFFF"/>
            <w:vAlign w:val="center"/>
          </w:tcPr>
          <w:p w14:paraId="7960722B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0408C1C1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12" w:type="pct"/>
            <w:shd w:val="clear" w:color="auto" w:fill="FFFFFF"/>
            <w:vAlign w:val="center"/>
          </w:tcPr>
          <w:p w14:paraId="5EFDAC67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405" w:type="pct"/>
            <w:shd w:val="clear" w:color="auto" w:fill="FFFFFF"/>
            <w:vAlign w:val="center"/>
          </w:tcPr>
          <w:p w14:paraId="44CBDA76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507" w:type="pct"/>
            <w:shd w:val="clear" w:color="auto" w:fill="FFFFFF"/>
            <w:vAlign w:val="center"/>
          </w:tcPr>
          <w:p w14:paraId="5B88C20C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288936C1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03" w:type="pct"/>
            <w:shd w:val="clear" w:color="auto" w:fill="FFFFFF"/>
            <w:vAlign w:val="center"/>
          </w:tcPr>
          <w:p w14:paraId="33064F46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92" w:type="pct"/>
            <w:shd w:val="clear" w:color="auto" w:fill="FFFFFF"/>
            <w:vAlign w:val="center"/>
          </w:tcPr>
          <w:p w14:paraId="141BFD02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2529A6" w:rsidRPr="00356B89" w14:paraId="2151AE8C" w14:textId="77777777" w:rsidTr="00862132">
        <w:trPr>
          <w:trHeight w:val="230"/>
        </w:trPr>
        <w:tc>
          <w:tcPr>
            <w:tcW w:w="809" w:type="pct"/>
            <w:shd w:val="clear" w:color="auto" w:fill="FFFFFF"/>
            <w:vAlign w:val="center"/>
          </w:tcPr>
          <w:p w14:paraId="17395768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BSK5</w:t>
            </w:r>
          </w:p>
        </w:tc>
        <w:tc>
          <w:tcPr>
            <w:tcW w:w="861" w:type="pct"/>
            <w:shd w:val="clear" w:color="auto" w:fill="FFFFFF"/>
            <w:vAlign w:val="center"/>
          </w:tcPr>
          <w:p w14:paraId="0DDAE310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BZT5</w:t>
            </w:r>
          </w:p>
        </w:tc>
        <w:tc>
          <w:tcPr>
            <w:tcW w:w="354" w:type="pct"/>
            <w:shd w:val="clear" w:color="auto" w:fill="FFFFFF"/>
            <w:vAlign w:val="center"/>
          </w:tcPr>
          <w:p w14:paraId="21458BB8" w14:textId="77777777" w:rsidR="00DB7AA2" w:rsidRPr="00356B89" w:rsidRDefault="00F56E7D" w:rsidP="006B2DD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355" w:type="pct"/>
            <w:shd w:val="clear" w:color="auto" w:fill="FFFFFF"/>
            <w:vAlign w:val="center"/>
          </w:tcPr>
          <w:p w14:paraId="040DE073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3683DA6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12" w:type="pct"/>
            <w:shd w:val="clear" w:color="auto" w:fill="FFFFFF"/>
            <w:vAlign w:val="center"/>
          </w:tcPr>
          <w:p w14:paraId="7111C0AD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405" w:type="pct"/>
            <w:shd w:val="clear" w:color="auto" w:fill="FFFFFF"/>
            <w:vAlign w:val="center"/>
          </w:tcPr>
          <w:p w14:paraId="51198F9A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507" w:type="pct"/>
            <w:shd w:val="clear" w:color="auto" w:fill="FFFFFF"/>
            <w:vAlign w:val="center"/>
          </w:tcPr>
          <w:p w14:paraId="5CA6F05E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0B6035CC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03" w:type="pct"/>
            <w:shd w:val="clear" w:color="auto" w:fill="FFFFFF"/>
            <w:vAlign w:val="center"/>
          </w:tcPr>
          <w:p w14:paraId="04FC78F4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92" w:type="pct"/>
            <w:shd w:val="clear" w:color="auto" w:fill="FFFFFF"/>
            <w:vAlign w:val="center"/>
          </w:tcPr>
          <w:p w14:paraId="64B8D1B3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2529A6" w:rsidRPr="00356B89" w14:paraId="2900409A" w14:textId="77777777" w:rsidTr="00862132">
        <w:trPr>
          <w:trHeight w:val="230"/>
        </w:trPr>
        <w:tc>
          <w:tcPr>
            <w:tcW w:w="809" w:type="pct"/>
            <w:shd w:val="clear" w:color="auto" w:fill="FFFFFF"/>
            <w:vAlign w:val="center"/>
          </w:tcPr>
          <w:p w14:paraId="55A207A0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TOC</w:t>
            </w:r>
          </w:p>
        </w:tc>
        <w:tc>
          <w:tcPr>
            <w:tcW w:w="861" w:type="pct"/>
            <w:shd w:val="clear" w:color="auto" w:fill="FFFFFF"/>
            <w:vAlign w:val="center"/>
          </w:tcPr>
          <w:p w14:paraId="440B6C00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ogólny węgiel organiczny (OWO)</w:t>
            </w:r>
          </w:p>
        </w:tc>
        <w:tc>
          <w:tcPr>
            <w:tcW w:w="354" w:type="pct"/>
            <w:shd w:val="clear" w:color="auto" w:fill="FFFFFF"/>
            <w:vAlign w:val="center"/>
          </w:tcPr>
          <w:p w14:paraId="053B24E7" w14:textId="77777777" w:rsidR="00DB7AA2" w:rsidRPr="00356B89" w:rsidRDefault="00F56E7D" w:rsidP="006B2DD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355" w:type="pct"/>
            <w:shd w:val="clear" w:color="auto" w:fill="FFFFFF"/>
            <w:vAlign w:val="center"/>
          </w:tcPr>
          <w:p w14:paraId="490370C8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40A91B5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12" w:type="pct"/>
            <w:shd w:val="clear" w:color="auto" w:fill="FFFFFF"/>
            <w:vAlign w:val="center"/>
          </w:tcPr>
          <w:p w14:paraId="4484998E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405" w:type="pct"/>
            <w:shd w:val="clear" w:color="auto" w:fill="FFFFFF"/>
            <w:vAlign w:val="center"/>
          </w:tcPr>
          <w:p w14:paraId="2E03BD65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507" w:type="pct"/>
            <w:shd w:val="clear" w:color="auto" w:fill="FFFFFF"/>
            <w:vAlign w:val="center"/>
          </w:tcPr>
          <w:p w14:paraId="6085993E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0054B94B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03" w:type="pct"/>
            <w:shd w:val="clear" w:color="auto" w:fill="FFFFFF"/>
            <w:vAlign w:val="center"/>
          </w:tcPr>
          <w:p w14:paraId="4D551696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92" w:type="pct"/>
            <w:shd w:val="clear" w:color="auto" w:fill="FFFFFF"/>
            <w:vAlign w:val="center"/>
          </w:tcPr>
          <w:p w14:paraId="54505601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2529A6" w:rsidRPr="00356B89" w14:paraId="6D3657CC" w14:textId="77777777" w:rsidTr="00862132">
        <w:trPr>
          <w:trHeight w:val="226"/>
        </w:trPr>
        <w:tc>
          <w:tcPr>
            <w:tcW w:w="809" w:type="pct"/>
            <w:shd w:val="clear" w:color="auto" w:fill="FFFFFF"/>
            <w:vAlign w:val="center"/>
          </w:tcPr>
          <w:p w14:paraId="09BB1E6D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CHSKCr</w:t>
            </w:r>
          </w:p>
        </w:tc>
        <w:tc>
          <w:tcPr>
            <w:tcW w:w="861" w:type="pct"/>
            <w:shd w:val="clear" w:color="auto" w:fill="FFFFFF"/>
            <w:vAlign w:val="center"/>
          </w:tcPr>
          <w:p w14:paraId="6A8B0433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ChZT-Cr</w:t>
            </w:r>
          </w:p>
        </w:tc>
        <w:tc>
          <w:tcPr>
            <w:tcW w:w="354" w:type="pct"/>
            <w:shd w:val="clear" w:color="auto" w:fill="FFFFFF"/>
            <w:vAlign w:val="center"/>
          </w:tcPr>
          <w:p w14:paraId="722D191A" w14:textId="77777777" w:rsidR="00DB7AA2" w:rsidRPr="00356B89" w:rsidRDefault="00F56E7D" w:rsidP="006B2DD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355" w:type="pct"/>
            <w:shd w:val="clear" w:color="auto" w:fill="FFFFFF"/>
            <w:vAlign w:val="center"/>
          </w:tcPr>
          <w:p w14:paraId="4728EEF5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0864183B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12" w:type="pct"/>
            <w:shd w:val="clear" w:color="auto" w:fill="FFFFFF"/>
            <w:vAlign w:val="center"/>
          </w:tcPr>
          <w:p w14:paraId="03024024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405" w:type="pct"/>
            <w:shd w:val="clear" w:color="auto" w:fill="FFFFFF"/>
            <w:vAlign w:val="center"/>
          </w:tcPr>
          <w:p w14:paraId="08635B1B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507" w:type="pct"/>
            <w:shd w:val="clear" w:color="auto" w:fill="FFFFFF"/>
            <w:vAlign w:val="center"/>
          </w:tcPr>
          <w:p w14:paraId="66AACCDC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418211A4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03" w:type="pct"/>
            <w:shd w:val="clear" w:color="auto" w:fill="FFFFFF"/>
            <w:vAlign w:val="center"/>
          </w:tcPr>
          <w:p w14:paraId="35EBA98E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92" w:type="pct"/>
            <w:shd w:val="clear" w:color="auto" w:fill="FFFFFF"/>
            <w:vAlign w:val="center"/>
          </w:tcPr>
          <w:p w14:paraId="2CD4726C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2529A6" w:rsidRPr="00356B89" w14:paraId="314A134F" w14:textId="77777777" w:rsidTr="00862132">
        <w:trPr>
          <w:trHeight w:val="230"/>
        </w:trPr>
        <w:tc>
          <w:tcPr>
            <w:tcW w:w="809" w:type="pct"/>
            <w:shd w:val="clear" w:color="auto" w:fill="FFFFFF"/>
            <w:vAlign w:val="center"/>
          </w:tcPr>
          <w:p w14:paraId="58D320A6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vodivost</w:t>
            </w:r>
          </w:p>
        </w:tc>
        <w:tc>
          <w:tcPr>
            <w:tcW w:w="861" w:type="pct"/>
            <w:shd w:val="clear" w:color="auto" w:fill="FFFFFF"/>
            <w:vAlign w:val="center"/>
          </w:tcPr>
          <w:p w14:paraId="36985DBE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Przewodność elektrolityczna</w:t>
            </w:r>
          </w:p>
        </w:tc>
        <w:tc>
          <w:tcPr>
            <w:tcW w:w="354" w:type="pct"/>
            <w:shd w:val="clear" w:color="auto" w:fill="FFFFFF"/>
            <w:vAlign w:val="center"/>
          </w:tcPr>
          <w:p w14:paraId="0E5108E9" w14:textId="5F2BA5F0" w:rsidR="00DB7AA2" w:rsidRPr="00356B89" w:rsidRDefault="006B2DDC" w:rsidP="006B2DD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μ</w:t>
            </w:r>
            <w:r w:rsidR="00F56E7D"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S/cm</w:t>
            </w:r>
          </w:p>
        </w:tc>
        <w:tc>
          <w:tcPr>
            <w:tcW w:w="355" w:type="pct"/>
            <w:shd w:val="clear" w:color="auto" w:fill="FFFFFF"/>
            <w:vAlign w:val="center"/>
          </w:tcPr>
          <w:p w14:paraId="55CF7FAD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1461F00F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12" w:type="pct"/>
            <w:shd w:val="clear" w:color="auto" w:fill="FFFFFF"/>
            <w:vAlign w:val="center"/>
          </w:tcPr>
          <w:p w14:paraId="0C432B9F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405" w:type="pct"/>
            <w:shd w:val="clear" w:color="auto" w:fill="FFFFFF"/>
            <w:vAlign w:val="center"/>
          </w:tcPr>
          <w:p w14:paraId="07ED20C5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507" w:type="pct"/>
            <w:shd w:val="clear" w:color="auto" w:fill="FFFFFF"/>
            <w:vAlign w:val="center"/>
          </w:tcPr>
          <w:p w14:paraId="2F0EED46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6AB169BF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03" w:type="pct"/>
            <w:shd w:val="clear" w:color="auto" w:fill="FFFFFF"/>
            <w:vAlign w:val="center"/>
          </w:tcPr>
          <w:p w14:paraId="3332C3FE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92" w:type="pct"/>
            <w:shd w:val="clear" w:color="auto" w:fill="FFFFFF"/>
            <w:vAlign w:val="center"/>
          </w:tcPr>
          <w:p w14:paraId="3D95A790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2529A6" w:rsidRPr="00356B89" w14:paraId="00B2A542" w14:textId="77777777" w:rsidTr="00862132">
        <w:trPr>
          <w:trHeight w:val="226"/>
        </w:trPr>
        <w:tc>
          <w:tcPr>
            <w:tcW w:w="809" w:type="pct"/>
            <w:shd w:val="clear" w:color="auto" w:fill="FFFFFF"/>
            <w:vAlign w:val="center"/>
          </w:tcPr>
          <w:p w14:paraId="01D388EE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rozpuštěné látky</w:t>
            </w:r>
          </w:p>
        </w:tc>
        <w:tc>
          <w:tcPr>
            <w:tcW w:w="861" w:type="pct"/>
            <w:shd w:val="clear" w:color="auto" w:fill="FFFFFF"/>
            <w:vAlign w:val="center"/>
          </w:tcPr>
          <w:p w14:paraId="2B38D406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Substancje rozpuszczone</w:t>
            </w:r>
          </w:p>
        </w:tc>
        <w:tc>
          <w:tcPr>
            <w:tcW w:w="354" w:type="pct"/>
            <w:shd w:val="clear" w:color="auto" w:fill="FFFFFF"/>
            <w:vAlign w:val="center"/>
          </w:tcPr>
          <w:p w14:paraId="3E2AC18D" w14:textId="77777777" w:rsidR="00DB7AA2" w:rsidRPr="00356B89" w:rsidRDefault="00F56E7D" w:rsidP="006B2DD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355" w:type="pct"/>
            <w:shd w:val="clear" w:color="auto" w:fill="FFFFFF"/>
            <w:vAlign w:val="center"/>
          </w:tcPr>
          <w:p w14:paraId="095000C3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5D39F7B4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2" w:type="pct"/>
            <w:shd w:val="clear" w:color="auto" w:fill="FFFFFF"/>
            <w:vAlign w:val="center"/>
          </w:tcPr>
          <w:p w14:paraId="13E09D71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auto" w:fill="FFFFFF"/>
            <w:vAlign w:val="center"/>
          </w:tcPr>
          <w:p w14:paraId="2B04C4DB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07" w:type="pct"/>
            <w:shd w:val="clear" w:color="auto" w:fill="FFFFFF"/>
            <w:vAlign w:val="center"/>
          </w:tcPr>
          <w:p w14:paraId="7100C000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6" w:type="pct"/>
            <w:shd w:val="clear" w:color="auto" w:fill="FFFFFF"/>
            <w:vAlign w:val="center"/>
          </w:tcPr>
          <w:p w14:paraId="44D2B3EA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03" w:type="pct"/>
            <w:shd w:val="clear" w:color="auto" w:fill="FFFFFF"/>
            <w:vAlign w:val="center"/>
          </w:tcPr>
          <w:p w14:paraId="624CF1D8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292" w:type="pct"/>
            <w:shd w:val="clear" w:color="auto" w:fill="FFFFFF"/>
            <w:vAlign w:val="center"/>
          </w:tcPr>
          <w:p w14:paraId="3CE6E381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2529A6" w:rsidRPr="00356B89" w14:paraId="29905FE8" w14:textId="77777777" w:rsidTr="00862132">
        <w:trPr>
          <w:trHeight w:val="230"/>
        </w:trPr>
        <w:tc>
          <w:tcPr>
            <w:tcW w:w="809" w:type="pct"/>
            <w:shd w:val="clear" w:color="auto" w:fill="FFFFFF"/>
            <w:vAlign w:val="center"/>
          </w:tcPr>
          <w:p w14:paraId="607A7CD6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sírany</w:t>
            </w:r>
          </w:p>
        </w:tc>
        <w:tc>
          <w:tcPr>
            <w:tcW w:w="861" w:type="pct"/>
            <w:shd w:val="clear" w:color="auto" w:fill="FFFFFF"/>
            <w:vAlign w:val="center"/>
          </w:tcPr>
          <w:p w14:paraId="56140FDC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Siarczany</w:t>
            </w:r>
          </w:p>
        </w:tc>
        <w:tc>
          <w:tcPr>
            <w:tcW w:w="354" w:type="pct"/>
            <w:shd w:val="clear" w:color="auto" w:fill="FFFFFF"/>
            <w:vAlign w:val="center"/>
          </w:tcPr>
          <w:p w14:paraId="5AB1425D" w14:textId="77777777" w:rsidR="00DB7AA2" w:rsidRPr="00356B89" w:rsidRDefault="00F56E7D" w:rsidP="006B2DD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355" w:type="pct"/>
            <w:shd w:val="clear" w:color="auto" w:fill="FFFFFF"/>
            <w:vAlign w:val="center"/>
          </w:tcPr>
          <w:p w14:paraId="5D4BC2A6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3E77447A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2" w:type="pct"/>
            <w:shd w:val="clear" w:color="auto" w:fill="FFFFFF"/>
            <w:vAlign w:val="center"/>
          </w:tcPr>
          <w:p w14:paraId="008AE4ED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auto" w:fill="FFFFFF"/>
            <w:vAlign w:val="center"/>
          </w:tcPr>
          <w:p w14:paraId="6B7CFB16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07" w:type="pct"/>
            <w:shd w:val="clear" w:color="auto" w:fill="FFFFFF"/>
            <w:vAlign w:val="center"/>
          </w:tcPr>
          <w:p w14:paraId="34B97487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6" w:type="pct"/>
            <w:shd w:val="clear" w:color="auto" w:fill="FFFFFF"/>
            <w:vAlign w:val="center"/>
          </w:tcPr>
          <w:p w14:paraId="49B835E2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03" w:type="pct"/>
            <w:shd w:val="clear" w:color="auto" w:fill="FFFFFF"/>
            <w:vAlign w:val="center"/>
          </w:tcPr>
          <w:p w14:paraId="3AF80CF2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92" w:type="pct"/>
            <w:shd w:val="clear" w:color="auto" w:fill="FFFFFF"/>
            <w:vAlign w:val="center"/>
          </w:tcPr>
          <w:p w14:paraId="591584B1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2529A6" w:rsidRPr="00356B89" w14:paraId="767EE4E1" w14:textId="77777777" w:rsidTr="00862132">
        <w:trPr>
          <w:trHeight w:val="230"/>
        </w:trPr>
        <w:tc>
          <w:tcPr>
            <w:tcW w:w="809" w:type="pct"/>
            <w:shd w:val="clear" w:color="auto" w:fill="FFFFFF"/>
            <w:vAlign w:val="center"/>
          </w:tcPr>
          <w:p w14:paraId="22BC0673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chloridy</w:t>
            </w:r>
          </w:p>
        </w:tc>
        <w:tc>
          <w:tcPr>
            <w:tcW w:w="861" w:type="pct"/>
            <w:shd w:val="clear" w:color="auto" w:fill="FFFFFF"/>
            <w:vAlign w:val="center"/>
          </w:tcPr>
          <w:p w14:paraId="225021FA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Chlorki</w:t>
            </w:r>
          </w:p>
        </w:tc>
        <w:tc>
          <w:tcPr>
            <w:tcW w:w="354" w:type="pct"/>
            <w:shd w:val="clear" w:color="auto" w:fill="FFFFFF"/>
            <w:vAlign w:val="center"/>
          </w:tcPr>
          <w:p w14:paraId="77343022" w14:textId="77777777" w:rsidR="00DB7AA2" w:rsidRPr="00356B89" w:rsidRDefault="00F56E7D" w:rsidP="006B2DD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355" w:type="pct"/>
            <w:shd w:val="clear" w:color="auto" w:fill="FFFFFF"/>
            <w:vAlign w:val="center"/>
          </w:tcPr>
          <w:p w14:paraId="28279106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10F352A6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2" w:type="pct"/>
            <w:shd w:val="clear" w:color="auto" w:fill="FFFFFF"/>
            <w:vAlign w:val="center"/>
          </w:tcPr>
          <w:p w14:paraId="61B65802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auto" w:fill="FFFFFF"/>
            <w:vAlign w:val="center"/>
          </w:tcPr>
          <w:p w14:paraId="2B5B3D4A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07" w:type="pct"/>
            <w:shd w:val="clear" w:color="auto" w:fill="FFFFFF"/>
            <w:vAlign w:val="center"/>
          </w:tcPr>
          <w:p w14:paraId="664AFD52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6" w:type="pct"/>
            <w:shd w:val="clear" w:color="auto" w:fill="FFFFFF"/>
            <w:vAlign w:val="center"/>
          </w:tcPr>
          <w:p w14:paraId="65E530E4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03" w:type="pct"/>
            <w:shd w:val="clear" w:color="auto" w:fill="FFFFFF"/>
            <w:vAlign w:val="center"/>
          </w:tcPr>
          <w:p w14:paraId="24918F92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92" w:type="pct"/>
            <w:shd w:val="clear" w:color="auto" w:fill="FFFFFF"/>
            <w:vAlign w:val="center"/>
          </w:tcPr>
          <w:p w14:paraId="7F3D875D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2529A6" w:rsidRPr="00356B89" w14:paraId="4C520EA9" w14:textId="77777777" w:rsidTr="0013307C">
        <w:trPr>
          <w:trHeight w:val="226"/>
        </w:trPr>
        <w:tc>
          <w:tcPr>
            <w:tcW w:w="809" w:type="pct"/>
            <w:shd w:val="clear" w:color="auto" w:fill="FFFFFF"/>
            <w:vAlign w:val="bottom"/>
          </w:tcPr>
          <w:p w14:paraId="7D1F93BB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pH</w:t>
            </w:r>
          </w:p>
        </w:tc>
        <w:tc>
          <w:tcPr>
            <w:tcW w:w="861" w:type="pct"/>
            <w:shd w:val="clear" w:color="auto" w:fill="auto"/>
            <w:vAlign w:val="bottom"/>
          </w:tcPr>
          <w:p w14:paraId="3F7360D9" w14:textId="59C5C4DD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Odczyn p</w:t>
            </w:r>
            <w:r w:rsidR="0086213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354" w:type="pct"/>
            <w:shd w:val="clear" w:color="auto" w:fill="FFFFFF"/>
            <w:vAlign w:val="center"/>
          </w:tcPr>
          <w:p w14:paraId="48573EAC" w14:textId="77777777" w:rsidR="00DB7AA2" w:rsidRPr="00356B89" w:rsidRDefault="00DB7AA2" w:rsidP="006B2DD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auto" w:fill="FFFFFF"/>
            <w:vAlign w:val="center"/>
          </w:tcPr>
          <w:p w14:paraId="560C1E28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9EDBDEC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12" w:type="pct"/>
            <w:shd w:val="clear" w:color="auto" w:fill="FFFFFF"/>
            <w:vAlign w:val="center"/>
          </w:tcPr>
          <w:p w14:paraId="209BD4F6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405" w:type="pct"/>
            <w:shd w:val="clear" w:color="auto" w:fill="FFFFFF"/>
            <w:vAlign w:val="center"/>
          </w:tcPr>
          <w:p w14:paraId="1545AD1F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507" w:type="pct"/>
            <w:shd w:val="clear" w:color="auto" w:fill="FFFFFF"/>
            <w:vAlign w:val="center"/>
          </w:tcPr>
          <w:p w14:paraId="2D0F4A3E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3E9FE70B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03" w:type="pct"/>
            <w:shd w:val="clear" w:color="auto" w:fill="FFFFFF"/>
            <w:vAlign w:val="center"/>
          </w:tcPr>
          <w:p w14:paraId="176F6585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92" w:type="pct"/>
            <w:shd w:val="clear" w:color="auto" w:fill="FFFFFF"/>
            <w:vAlign w:val="center"/>
          </w:tcPr>
          <w:p w14:paraId="27964E99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2529A6" w:rsidRPr="00356B89" w14:paraId="2475F598" w14:textId="77777777" w:rsidTr="00862132">
        <w:trPr>
          <w:trHeight w:val="230"/>
        </w:trPr>
        <w:tc>
          <w:tcPr>
            <w:tcW w:w="809" w:type="pct"/>
            <w:shd w:val="clear" w:color="auto" w:fill="FFFFFF"/>
            <w:vAlign w:val="center"/>
          </w:tcPr>
          <w:p w14:paraId="03094363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amoniakální dusík</w:t>
            </w:r>
          </w:p>
        </w:tc>
        <w:tc>
          <w:tcPr>
            <w:tcW w:w="861" w:type="pct"/>
            <w:shd w:val="clear" w:color="auto" w:fill="FFFFFF"/>
            <w:vAlign w:val="center"/>
          </w:tcPr>
          <w:p w14:paraId="156AE637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Azot amonowy</w:t>
            </w:r>
          </w:p>
        </w:tc>
        <w:tc>
          <w:tcPr>
            <w:tcW w:w="354" w:type="pct"/>
            <w:shd w:val="clear" w:color="auto" w:fill="FFFFFF"/>
            <w:vAlign w:val="center"/>
          </w:tcPr>
          <w:p w14:paraId="410E76C4" w14:textId="77777777" w:rsidR="00DB7AA2" w:rsidRPr="00356B89" w:rsidRDefault="00F56E7D" w:rsidP="006B2DD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355" w:type="pct"/>
            <w:shd w:val="clear" w:color="auto" w:fill="FFFFFF"/>
            <w:vAlign w:val="center"/>
          </w:tcPr>
          <w:p w14:paraId="62EF232E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0B257DB8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12" w:type="pct"/>
            <w:shd w:val="clear" w:color="auto" w:fill="FFFFFF"/>
            <w:vAlign w:val="center"/>
          </w:tcPr>
          <w:p w14:paraId="3854C5CC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405" w:type="pct"/>
            <w:shd w:val="clear" w:color="auto" w:fill="FFFFFF"/>
            <w:vAlign w:val="center"/>
          </w:tcPr>
          <w:p w14:paraId="273507AA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507" w:type="pct"/>
            <w:shd w:val="clear" w:color="auto" w:fill="FFFFFF"/>
            <w:vAlign w:val="center"/>
          </w:tcPr>
          <w:p w14:paraId="3873D575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4ED0B508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03" w:type="pct"/>
            <w:shd w:val="clear" w:color="auto" w:fill="FFFFFF"/>
            <w:vAlign w:val="center"/>
          </w:tcPr>
          <w:p w14:paraId="37BDD158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92" w:type="pct"/>
            <w:shd w:val="clear" w:color="auto" w:fill="FFFFFF"/>
            <w:vAlign w:val="center"/>
          </w:tcPr>
          <w:p w14:paraId="0814E3DB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2529A6" w:rsidRPr="00356B89" w14:paraId="02C60644" w14:textId="77777777" w:rsidTr="00862132">
        <w:trPr>
          <w:trHeight w:val="226"/>
        </w:trPr>
        <w:tc>
          <w:tcPr>
            <w:tcW w:w="809" w:type="pct"/>
            <w:shd w:val="clear" w:color="auto" w:fill="FFFFFF"/>
            <w:vAlign w:val="bottom"/>
          </w:tcPr>
          <w:p w14:paraId="5C5B8210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dusičnanový dusík</w:t>
            </w:r>
          </w:p>
        </w:tc>
        <w:tc>
          <w:tcPr>
            <w:tcW w:w="861" w:type="pct"/>
            <w:shd w:val="clear" w:color="auto" w:fill="FFFFFF"/>
            <w:vAlign w:val="bottom"/>
          </w:tcPr>
          <w:p w14:paraId="3D998258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Azot azotanowy</w:t>
            </w:r>
          </w:p>
        </w:tc>
        <w:tc>
          <w:tcPr>
            <w:tcW w:w="354" w:type="pct"/>
            <w:shd w:val="clear" w:color="auto" w:fill="FFFFFF"/>
            <w:vAlign w:val="center"/>
          </w:tcPr>
          <w:p w14:paraId="452A3E57" w14:textId="77777777" w:rsidR="00DB7AA2" w:rsidRPr="00356B89" w:rsidRDefault="00F56E7D" w:rsidP="006B2DD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355" w:type="pct"/>
            <w:shd w:val="clear" w:color="auto" w:fill="FFFFFF"/>
            <w:vAlign w:val="center"/>
          </w:tcPr>
          <w:p w14:paraId="00A65751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08706B63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12" w:type="pct"/>
            <w:shd w:val="clear" w:color="auto" w:fill="FFFFFF"/>
            <w:vAlign w:val="center"/>
          </w:tcPr>
          <w:p w14:paraId="5BD467D7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405" w:type="pct"/>
            <w:shd w:val="clear" w:color="auto" w:fill="FFFFFF"/>
            <w:vAlign w:val="center"/>
          </w:tcPr>
          <w:p w14:paraId="7EA09541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507" w:type="pct"/>
            <w:shd w:val="clear" w:color="auto" w:fill="FFFFFF"/>
            <w:vAlign w:val="center"/>
          </w:tcPr>
          <w:p w14:paraId="718AE794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78E31A77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03" w:type="pct"/>
            <w:shd w:val="clear" w:color="auto" w:fill="FFFFFF"/>
            <w:vAlign w:val="center"/>
          </w:tcPr>
          <w:p w14:paraId="3B7B3141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92" w:type="pct"/>
            <w:shd w:val="clear" w:color="auto" w:fill="FFFFFF"/>
            <w:vAlign w:val="center"/>
          </w:tcPr>
          <w:p w14:paraId="001D655B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2529A6" w:rsidRPr="00356B89" w14:paraId="1C07ED07" w14:textId="77777777" w:rsidTr="00862132">
        <w:trPr>
          <w:trHeight w:val="230"/>
        </w:trPr>
        <w:tc>
          <w:tcPr>
            <w:tcW w:w="809" w:type="pct"/>
            <w:shd w:val="clear" w:color="auto" w:fill="FFFFFF"/>
            <w:vAlign w:val="center"/>
          </w:tcPr>
          <w:p w14:paraId="01EB06A5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celkový dusík</w:t>
            </w:r>
          </w:p>
        </w:tc>
        <w:tc>
          <w:tcPr>
            <w:tcW w:w="861" w:type="pct"/>
            <w:shd w:val="clear" w:color="auto" w:fill="FFFFFF"/>
            <w:vAlign w:val="center"/>
          </w:tcPr>
          <w:p w14:paraId="306AA2AD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Azot ogólny</w:t>
            </w:r>
          </w:p>
        </w:tc>
        <w:tc>
          <w:tcPr>
            <w:tcW w:w="354" w:type="pct"/>
            <w:shd w:val="clear" w:color="auto" w:fill="FFFFFF"/>
            <w:vAlign w:val="center"/>
          </w:tcPr>
          <w:p w14:paraId="05EF8A06" w14:textId="77777777" w:rsidR="00DB7AA2" w:rsidRPr="00356B89" w:rsidRDefault="00F56E7D" w:rsidP="006B2DD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355" w:type="pct"/>
            <w:shd w:val="clear" w:color="auto" w:fill="FFFFFF"/>
            <w:vAlign w:val="center"/>
          </w:tcPr>
          <w:p w14:paraId="518EC8BB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6DB78722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12" w:type="pct"/>
            <w:shd w:val="clear" w:color="auto" w:fill="FFFFFF"/>
            <w:vAlign w:val="center"/>
          </w:tcPr>
          <w:p w14:paraId="34C819BD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405" w:type="pct"/>
            <w:shd w:val="clear" w:color="auto" w:fill="FFFFFF"/>
            <w:vAlign w:val="center"/>
          </w:tcPr>
          <w:p w14:paraId="7B904132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507" w:type="pct"/>
            <w:shd w:val="clear" w:color="auto" w:fill="FFFFFF"/>
            <w:vAlign w:val="center"/>
          </w:tcPr>
          <w:p w14:paraId="68221DB0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7FD9D2F5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03" w:type="pct"/>
            <w:shd w:val="clear" w:color="auto" w:fill="FFFFFF"/>
            <w:vAlign w:val="center"/>
          </w:tcPr>
          <w:p w14:paraId="627F0207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92" w:type="pct"/>
            <w:shd w:val="clear" w:color="auto" w:fill="FFFFFF"/>
            <w:vAlign w:val="center"/>
          </w:tcPr>
          <w:p w14:paraId="3D7DBEA7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2529A6" w:rsidRPr="00356B89" w14:paraId="6F71FA08" w14:textId="77777777" w:rsidTr="00862132">
        <w:trPr>
          <w:trHeight w:val="230"/>
        </w:trPr>
        <w:tc>
          <w:tcPr>
            <w:tcW w:w="809" w:type="pct"/>
            <w:shd w:val="clear" w:color="auto" w:fill="FFFFFF"/>
            <w:vAlign w:val="center"/>
          </w:tcPr>
          <w:p w14:paraId="771CEFA5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celkový fosfor</w:t>
            </w:r>
          </w:p>
        </w:tc>
        <w:tc>
          <w:tcPr>
            <w:tcW w:w="861" w:type="pct"/>
            <w:shd w:val="clear" w:color="auto" w:fill="FFFFFF"/>
            <w:vAlign w:val="center"/>
          </w:tcPr>
          <w:p w14:paraId="2C227F6F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Fosfor ogólny</w:t>
            </w:r>
          </w:p>
        </w:tc>
        <w:tc>
          <w:tcPr>
            <w:tcW w:w="354" w:type="pct"/>
            <w:shd w:val="clear" w:color="auto" w:fill="FFFFFF"/>
            <w:vAlign w:val="center"/>
          </w:tcPr>
          <w:p w14:paraId="427F8DC8" w14:textId="77777777" w:rsidR="00DB7AA2" w:rsidRPr="00356B89" w:rsidRDefault="00F56E7D" w:rsidP="006B2DD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355" w:type="pct"/>
            <w:shd w:val="clear" w:color="auto" w:fill="FFFFFF"/>
            <w:vAlign w:val="center"/>
          </w:tcPr>
          <w:p w14:paraId="326EFDEF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67109037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12" w:type="pct"/>
            <w:shd w:val="clear" w:color="auto" w:fill="FFFFFF"/>
            <w:vAlign w:val="center"/>
          </w:tcPr>
          <w:p w14:paraId="01797862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405" w:type="pct"/>
            <w:shd w:val="clear" w:color="auto" w:fill="FFFFFF"/>
            <w:vAlign w:val="center"/>
          </w:tcPr>
          <w:p w14:paraId="2C0BF862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507" w:type="pct"/>
            <w:shd w:val="clear" w:color="auto" w:fill="FFFFFF"/>
            <w:vAlign w:val="center"/>
          </w:tcPr>
          <w:p w14:paraId="62448498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799F9B03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03" w:type="pct"/>
            <w:shd w:val="clear" w:color="auto" w:fill="FFFFFF"/>
            <w:vAlign w:val="center"/>
          </w:tcPr>
          <w:p w14:paraId="7B0AB7E0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92" w:type="pct"/>
            <w:shd w:val="clear" w:color="auto" w:fill="FFFFFF"/>
            <w:vAlign w:val="center"/>
          </w:tcPr>
          <w:p w14:paraId="653CFAE4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930693" w:rsidRPr="00356B89" w14:paraId="341A94AE" w14:textId="77777777" w:rsidTr="00862132">
        <w:trPr>
          <w:trHeight w:val="226"/>
        </w:trPr>
        <w:tc>
          <w:tcPr>
            <w:tcW w:w="5000" w:type="pct"/>
            <w:gridSpan w:val="11"/>
            <w:shd w:val="clear" w:color="auto" w:fill="BDD6EE" w:themeFill="accent5" w:themeFillTint="66"/>
            <w:vAlign w:val="center"/>
          </w:tcPr>
          <w:p w14:paraId="0291F2C1" w14:textId="77777777" w:rsidR="00DB7AA2" w:rsidRPr="00356B89" w:rsidRDefault="00F56E7D" w:rsidP="002529A6">
            <w:pPr>
              <w:spacing w:after="0" w:line="276" w:lineRule="auto"/>
              <w:ind w:left="5103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substancje priorytetowe</w:t>
            </w:r>
          </w:p>
        </w:tc>
      </w:tr>
      <w:tr w:rsidR="002529A6" w:rsidRPr="00356B89" w14:paraId="1404233D" w14:textId="77777777" w:rsidTr="00862132">
        <w:trPr>
          <w:trHeight w:val="230"/>
        </w:trPr>
        <w:tc>
          <w:tcPr>
            <w:tcW w:w="809" w:type="pct"/>
            <w:shd w:val="clear" w:color="auto" w:fill="FFFFFF"/>
            <w:vAlign w:val="center"/>
          </w:tcPr>
          <w:p w14:paraId="7AC6A463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Rtuť rozpuštěná fáze</w:t>
            </w:r>
          </w:p>
        </w:tc>
        <w:tc>
          <w:tcPr>
            <w:tcW w:w="861" w:type="pct"/>
            <w:shd w:val="clear" w:color="auto" w:fill="FFFFFF"/>
            <w:vAlign w:val="center"/>
          </w:tcPr>
          <w:p w14:paraId="319D5E41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rtęć</w:t>
            </w:r>
          </w:p>
        </w:tc>
        <w:tc>
          <w:tcPr>
            <w:tcW w:w="354" w:type="pct"/>
            <w:shd w:val="clear" w:color="auto" w:fill="FFFFFF"/>
            <w:vAlign w:val="center"/>
          </w:tcPr>
          <w:p w14:paraId="7D35B9DA" w14:textId="40C53B7F" w:rsidR="00DB7AA2" w:rsidRPr="00356B89" w:rsidRDefault="002529A6" w:rsidP="006B2DD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μ</w:t>
            </w:r>
            <w:r w:rsidR="00F56E7D"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g/l</w:t>
            </w:r>
          </w:p>
        </w:tc>
        <w:tc>
          <w:tcPr>
            <w:tcW w:w="355" w:type="pct"/>
            <w:shd w:val="clear" w:color="auto" w:fill="FFFFFF"/>
            <w:vAlign w:val="center"/>
          </w:tcPr>
          <w:p w14:paraId="1127E306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423D165A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2" w:type="pct"/>
            <w:shd w:val="clear" w:color="auto" w:fill="FFFFFF"/>
            <w:vAlign w:val="center"/>
          </w:tcPr>
          <w:p w14:paraId="3C8F44E0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auto" w:fill="FFFFFF"/>
            <w:vAlign w:val="center"/>
          </w:tcPr>
          <w:p w14:paraId="5F521878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07" w:type="pct"/>
            <w:shd w:val="clear" w:color="auto" w:fill="FFFFFF"/>
            <w:vAlign w:val="center"/>
          </w:tcPr>
          <w:p w14:paraId="6B819E4A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6" w:type="pct"/>
            <w:shd w:val="clear" w:color="auto" w:fill="FFFFFF"/>
            <w:vAlign w:val="center"/>
          </w:tcPr>
          <w:p w14:paraId="66A26FE5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03" w:type="pct"/>
            <w:shd w:val="clear" w:color="auto" w:fill="FFFFFF"/>
            <w:vAlign w:val="center"/>
          </w:tcPr>
          <w:p w14:paraId="00AB9D81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92" w:type="pct"/>
            <w:shd w:val="clear" w:color="auto" w:fill="FFFFFF"/>
            <w:vAlign w:val="center"/>
          </w:tcPr>
          <w:p w14:paraId="52C61443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2529A6" w:rsidRPr="00356B89" w14:paraId="50585C2D" w14:textId="77777777" w:rsidTr="00862132">
        <w:trPr>
          <w:trHeight w:val="226"/>
        </w:trPr>
        <w:tc>
          <w:tcPr>
            <w:tcW w:w="809" w:type="pct"/>
            <w:shd w:val="clear" w:color="auto" w:fill="FFFFFF"/>
            <w:vAlign w:val="bottom"/>
          </w:tcPr>
          <w:p w14:paraId="7DC89261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benzo(a)pyren</w:t>
            </w:r>
          </w:p>
        </w:tc>
        <w:tc>
          <w:tcPr>
            <w:tcW w:w="861" w:type="pct"/>
            <w:shd w:val="clear" w:color="auto" w:fill="FFFFFF"/>
            <w:vAlign w:val="bottom"/>
          </w:tcPr>
          <w:p w14:paraId="12A48E6C" w14:textId="77777777" w:rsidR="00DB7AA2" w:rsidRPr="00356B89" w:rsidRDefault="00F56E7D" w:rsidP="00DB7AA2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benzo(a)piren</w:t>
            </w:r>
          </w:p>
        </w:tc>
        <w:tc>
          <w:tcPr>
            <w:tcW w:w="354" w:type="pct"/>
            <w:shd w:val="clear" w:color="auto" w:fill="FFFFFF"/>
            <w:vAlign w:val="center"/>
          </w:tcPr>
          <w:p w14:paraId="4DF89063" w14:textId="4325D4CC" w:rsidR="00DB7AA2" w:rsidRPr="00356B89" w:rsidRDefault="002529A6" w:rsidP="006B2DD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355" w:type="pct"/>
            <w:shd w:val="clear" w:color="auto" w:fill="FFFFFF"/>
            <w:vAlign w:val="center"/>
          </w:tcPr>
          <w:p w14:paraId="53C806EC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3BBE6739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2" w:type="pct"/>
            <w:shd w:val="clear" w:color="auto" w:fill="FFFFFF"/>
            <w:vAlign w:val="center"/>
          </w:tcPr>
          <w:p w14:paraId="128AC73B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auto" w:fill="FFFFFF"/>
            <w:vAlign w:val="center"/>
          </w:tcPr>
          <w:p w14:paraId="7109EDE2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07" w:type="pct"/>
            <w:shd w:val="clear" w:color="auto" w:fill="FFFFFF"/>
            <w:vAlign w:val="center"/>
          </w:tcPr>
          <w:p w14:paraId="24F7F3EF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6" w:type="pct"/>
            <w:shd w:val="clear" w:color="auto" w:fill="FFFFFF"/>
            <w:vAlign w:val="center"/>
          </w:tcPr>
          <w:p w14:paraId="5755E2FA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3" w:type="pct"/>
            <w:shd w:val="clear" w:color="auto" w:fill="FFFFFF"/>
            <w:vAlign w:val="center"/>
          </w:tcPr>
          <w:p w14:paraId="14F171C8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92" w:type="pct"/>
            <w:shd w:val="clear" w:color="auto" w:fill="FFFFFF"/>
            <w:vAlign w:val="center"/>
          </w:tcPr>
          <w:p w14:paraId="0DA6BAC9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2529A6" w:rsidRPr="00356B89" w14:paraId="43A6A3D0" w14:textId="77777777" w:rsidTr="00862132">
        <w:trPr>
          <w:trHeight w:val="230"/>
        </w:trPr>
        <w:tc>
          <w:tcPr>
            <w:tcW w:w="809" w:type="pct"/>
            <w:shd w:val="clear" w:color="auto" w:fill="FFFFFF"/>
            <w:vAlign w:val="center"/>
          </w:tcPr>
          <w:p w14:paraId="68D51C29" w14:textId="77777777" w:rsidR="002529A6" w:rsidRPr="00356B89" w:rsidRDefault="002529A6" w:rsidP="002529A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benzo(b)fluoranten</w:t>
            </w:r>
          </w:p>
        </w:tc>
        <w:tc>
          <w:tcPr>
            <w:tcW w:w="861" w:type="pct"/>
            <w:shd w:val="clear" w:color="auto" w:fill="FFFFFF"/>
            <w:vAlign w:val="center"/>
          </w:tcPr>
          <w:p w14:paraId="52A64DB9" w14:textId="77777777" w:rsidR="002529A6" w:rsidRPr="00356B89" w:rsidRDefault="002529A6" w:rsidP="002529A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benzo(b)fluoranten</w:t>
            </w:r>
          </w:p>
        </w:tc>
        <w:tc>
          <w:tcPr>
            <w:tcW w:w="354" w:type="pct"/>
            <w:shd w:val="clear" w:color="auto" w:fill="FFFFFF"/>
          </w:tcPr>
          <w:p w14:paraId="5100A393" w14:textId="01804D4F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74E3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355" w:type="pct"/>
            <w:shd w:val="clear" w:color="auto" w:fill="FFFFFF"/>
            <w:vAlign w:val="center"/>
          </w:tcPr>
          <w:p w14:paraId="2090116D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51F93FF7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2" w:type="pct"/>
            <w:shd w:val="clear" w:color="auto" w:fill="FFFFFF"/>
            <w:vAlign w:val="center"/>
          </w:tcPr>
          <w:p w14:paraId="6217B780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auto" w:fill="FFFFFF"/>
            <w:vAlign w:val="center"/>
          </w:tcPr>
          <w:p w14:paraId="42E7A25C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07" w:type="pct"/>
            <w:shd w:val="clear" w:color="auto" w:fill="FFFFFF"/>
            <w:vAlign w:val="center"/>
          </w:tcPr>
          <w:p w14:paraId="4B4C7CBC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6" w:type="pct"/>
            <w:shd w:val="clear" w:color="auto" w:fill="FFFFFF"/>
            <w:vAlign w:val="center"/>
          </w:tcPr>
          <w:p w14:paraId="505A25EB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3" w:type="pct"/>
            <w:shd w:val="clear" w:color="auto" w:fill="FFFFFF"/>
            <w:vAlign w:val="center"/>
          </w:tcPr>
          <w:p w14:paraId="2D6D783F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92" w:type="pct"/>
            <w:shd w:val="clear" w:color="auto" w:fill="FFFFFF"/>
            <w:vAlign w:val="center"/>
          </w:tcPr>
          <w:p w14:paraId="5BAAD47D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2529A6" w:rsidRPr="00356B89" w14:paraId="2805A8FA" w14:textId="77777777" w:rsidTr="00862132">
        <w:trPr>
          <w:trHeight w:val="226"/>
        </w:trPr>
        <w:tc>
          <w:tcPr>
            <w:tcW w:w="809" w:type="pct"/>
            <w:shd w:val="clear" w:color="auto" w:fill="FFFFFF"/>
            <w:vAlign w:val="bottom"/>
          </w:tcPr>
          <w:p w14:paraId="6AE74BAF" w14:textId="77777777" w:rsidR="002529A6" w:rsidRPr="00356B89" w:rsidRDefault="002529A6" w:rsidP="002529A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benzo(k)fluoranten</w:t>
            </w:r>
          </w:p>
        </w:tc>
        <w:tc>
          <w:tcPr>
            <w:tcW w:w="861" w:type="pct"/>
            <w:shd w:val="clear" w:color="auto" w:fill="FFFFFF"/>
            <w:vAlign w:val="bottom"/>
          </w:tcPr>
          <w:p w14:paraId="464F72B5" w14:textId="77777777" w:rsidR="002529A6" w:rsidRPr="00356B89" w:rsidRDefault="002529A6" w:rsidP="002529A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benzo(k)fluoranten</w:t>
            </w:r>
          </w:p>
        </w:tc>
        <w:tc>
          <w:tcPr>
            <w:tcW w:w="354" w:type="pct"/>
            <w:shd w:val="clear" w:color="auto" w:fill="FFFFFF"/>
          </w:tcPr>
          <w:p w14:paraId="70F06696" w14:textId="72AA3486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74E3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355" w:type="pct"/>
            <w:shd w:val="clear" w:color="auto" w:fill="FFFFFF"/>
            <w:vAlign w:val="center"/>
          </w:tcPr>
          <w:p w14:paraId="519C8AB8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D8282FE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2" w:type="pct"/>
            <w:shd w:val="clear" w:color="auto" w:fill="FFFFFF"/>
            <w:vAlign w:val="center"/>
          </w:tcPr>
          <w:p w14:paraId="12E8356D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auto" w:fill="FFFFFF"/>
            <w:vAlign w:val="center"/>
          </w:tcPr>
          <w:p w14:paraId="7156407B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07" w:type="pct"/>
            <w:shd w:val="clear" w:color="auto" w:fill="FFFFFF"/>
            <w:vAlign w:val="center"/>
          </w:tcPr>
          <w:p w14:paraId="14F49D22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6" w:type="pct"/>
            <w:shd w:val="clear" w:color="auto" w:fill="FFFFFF"/>
            <w:vAlign w:val="center"/>
          </w:tcPr>
          <w:p w14:paraId="073CCAF1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3" w:type="pct"/>
            <w:shd w:val="clear" w:color="auto" w:fill="FFFFFF"/>
            <w:vAlign w:val="center"/>
          </w:tcPr>
          <w:p w14:paraId="42422BC2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92" w:type="pct"/>
            <w:shd w:val="clear" w:color="auto" w:fill="FFFFFF"/>
            <w:vAlign w:val="center"/>
          </w:tcPr>
          <w:p w14:paraId="7F9591C2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2529A6" w:rsidRPr="00356B89" w14:paraId="57F28F1E" w14:textId="77777777" w:rsidTr="00862132">
        <w:trPr>
          <w:trHeight w:val="230"/>
        </w:trPr>
        <w:tc>
          <w:tcPr>
            <w:tcW w:w="809" w:type="pct"/>
            <w:shd w:val="clear" w:color="auto" w:fill="FFFFFF"/>
            <w:vAlign w:val="center"/>
          </w:tcPr>
          <w:p w14:paraId="7C304F11" w14:textId="77777777" w:rsidR="002529A6" w:rsidRPr="00356B89" w:rsidRDefault="002529A6" w:rsidP="002529A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benzo(g, h, i)perylen</w:t>
            </w:r>
          </w:p>
        </w:tc>
        <w:tc>
          <w:tcPr>
            <w:tcW w:w="861" w:type="pct"/>
            <w:shd w:val="clear" w:color="auto" w:fill="FFFFFF"/>
            <w:vAlign w:val="center"/>
          </w:tcPr>
          <w:p w14:paraId="64562D9E" w14:textId="77777777" w:rsidR="002529A6" w:rsidRPr="00356B89" w:rsidRDefault="002529A6" w:rsidP="002529A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benzo(g, h, i)perylen</w:t>
            </w:r>
          </w:p>
        </w:tc>
        <w:tc>
          <w:tcPr>
            <w:tcW w:w="354" w:type="pct"/>
            <w:shd w:val="clear" w:color="auto" w:fill="FFFFFF"/>
          </w:tcPr>
          <w:p w14:paraId="5920FCB6" w14:textId="5AC5FCA9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74E3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355" w:type="pct"/>
            <w:shd w:val="clear" w:color="auto" w:fill="FFFFFF"/>
            <w:vAlign w:val="center"/>
          </w:tcPr>
          <w:p w14:paraId="618BA4B0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4539D438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2" w:type="pct"/>
            <w:shd w:val="clear" w:color="auto" w:fill="FFFFFF"/>
            <w:vAlign w:val="center"/>
          </w:tcPr>
          <w:p w14:paraId="568F51D7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auto" w:fill="FFFFFF"/>
            <w:vAlign w:val="center"/>
          </w:tcPr>
          <w:p w14:paraId="53439BB7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07" w:type="pct"/>
            <w:shd w:val="clear" w:color="auto" w:fill="FFFFFF"/>
            <w:vAlign w:val="center"/>
          </w:tcPr>
          <w:p w14:paraId="63B9A9EC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6" w:type="pct"/>
            <w:shd w:val="clear" w:color="auto" w:fill="FFFFFF"/>
            <w:vAlign w:val="center"/>
          </w:tcPr>
          <w:p w14:paraId="64B8B8E5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3" w:type="pct"/>
            <w:shd w:val="clear" w:color="auto" w:fill="FFFFFF"/>
            <w:vAlign w:val="center"/>
          </w:tcPr>
          <w:p w14:paraId="1D9A1431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92" w:type="pct"/>
            <w:shd w:val="clear" w:color="auto" w:fill="FFFFFF"/>
            <w:vAlign w:val="center"/>
          </w:tcPr>
          <w:p w14:paraId="3B055DF7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2529A6" w:rsidRPr="00356B89" w14:paraId="1792AFE2" w14:textId="77777777" w:rsidTr="00862132">
        <w:trPr>
          <w:trHeight w:val="230"/>
        </w:trPr>
        <w:tc>
          <w:tcPr>
            <w:tcW w:w="809" w:type="pct"/>
            <w:shd w:val="clear" w:color="auto" w:fill="FFFFFF"/>
            <w:vAlign w:val="center"/>
          </w:tcPr>
          <w:p w14:paraId="0F694931" w14:textId="77777777" w:rsidR="002529A6" w:rsidRPr="00356B89" w:rsidRDefault="002529A6" w:rsidP="002529A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indeno(1,2,3-cd)pyren</w:t>
            </w:r>
          </w:p>
        </w:tc>
        <w:tc>
          <w:tcPr>
            <w:tcW w:w="861" w:type="pct"/>
            <w:shd w:val="clear" w:color="auto" w:fill="FFFFFF"/>
            <w:vAlign w:val="center"/>
          </w:tcPr>
          <w:p w14:paraId="5529A7BA" w14:textId="77777777" w:rsidR="002529A6" w:rsidRPr="00356B89" w:rsidRDefault="002529A6" w:rsidP="002529A6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indeno(1,2,3-cd)piren</w:t>
            </w:r>
          </w:p>
        </w:tc>
        <w:tc>
          <w:tcPr>
            <w:tcW w:w="354" w:type="pct"/>
            <w:shd w:val="clear" w:color="auto" w:fill="FFFFFF"/>
          </w:tcPr>
          <w:p w14:paraId="3A147CFD" w14:textId="17BF1D5C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74E3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355" w:type="pct"/>
            <w:shd w:val="clear" w:color="auto" w:fill="FFFFFF"/>
            <w:vAlign w:val="center"/>
          </w:tcPr>
          <w:p w14:paraId="3F0BB766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3F879474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2" w:type="pct"/>
            <w:shd w:val="clear" w:color="auto" w:fill="FFFFFF"/>
            <w:vAlign w:val="center"/>
          </w:tcPr>
          <w:p w14:paraId="4F56FC28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auto" w:fill="FFFFFF"/>
            <w:vAlign w:val="center"/>
          </w:tcPr>
          <w:p w14:paraId="57147873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07" w:type="pct"/>
            <w:shd w:val="clear" w:color="auto" w:fill="FFFFFF"/>
            <w:vAlign w:val="center"/>
          </w:tcPr>
          <w:p w14:paraId="475DBF86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6" w:type="pct"/>
            <w:shd w:val="clear" w:color="auto" w:fill="FFFFFF"/>
            <w:vAlign w:val="center"/>
          </w:tcPr>
          <w:p w14:paraId="72895929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3" w:type="pct"/>
            <w:shd w:val="clear" w:color="auto" w:fill="FFFFFF"/>
            <w:vAlign w:val="center"/>
          </w:tcPr>
          <w:p w14:paraId="1A2E5FCD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92" w:type="pct"/>
            <w:shd w:val="clear" w:color="auto" w:fill="FFFFFF"/>
            <w:vAlign w:val="center"/>
          </w:tcPr>
          <w:p w14:paraId="001DF027" w14:textId="77777777" w:rsidR="002529A6" w:rsidRPr="00356B89" w:rsidRDefault="002529A6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930693" w:rsidRPr="00356B89" w14:paraId="447ECFF5" w14:textId="77777777" w:rsidTr="00862132">
        <w:trPr>
          <w:trHeight w:val="226"/>
        </w:trPr>
        <w:tc>
          <w:tcPr>
            <w:tcW w:w="5000" w:type="pct"/>
            <w:gridSpan w:val="11"/>
            <w:shd w:val="clear" w:color="auto" w:fill="BDD6EE" w:themeFill="accent5" w:themeFillTint="66"/>
            <w:vAlign w:val="center"/>
          </w:tcPr>
          <w:p w14:paraId="71722EEB" w14:textId="77777777" w:rsidR="00DB7AA2" w:rsidRPr="00356B89" w:rsidRDefault="00F56E7D" w:rsidP="002529A6">
            <w:pPr>
              <w:spacing w:after="0" w:line="276" w:lineRule="auto"/>
              <w:ind w:left="5103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wskaźniki mikrobiologiczne</w:t>
            </w:r>
          </w:p>
        </w:tc>
      </w:tr>
      <w:tr w:rsidR="002529A6" w:rsidRPr="00356B89" w14:paraId="768C2F8B" w14:textId="77777777" w:rsidTr="00862132">
        <w:trPr>
          <w:trHeight w:val="250"/>
        </w:trPr>
        <w:tc>
          <w:tcPr>
            <w:tcW w:w="809" w:type="pct"/>
            <w:shd w:val="clear" w:color="auto" w:fill="FFFFFF"/>
            <w:vAlign w:val="center"/>
          </w:tcPr>
          <w:p w14:paraId="4FFCCD49" w14:textId="3A8738BE" w:rsidR="00DB7AA2" w:rsidRPr="00356B89" w:rsidRDefault="00F56E7D" w:rsidP="002529A6">
            <w:pPr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fekální ko</w:t>
            </w:r>
            <w:r w:rsidR="00CF19C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</w:t>
            </w: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formní bakterie</w:t>
            </w:r>
          </w:p>
        </w:tc>
        <w:tc>
          <w:tcPr>
            <w:tcW w:w="861" w:type="pct"/>
            <w:shd w:val="clear" w:color="auto" w:fill="FFFFFF"/>
            <w:vAlign w:val="center"/>
          </w:tcPr>
          <w:p w14:paraId="305C36D9" w14:textId="77777777" w:rsidR="00DB7AA2" w:rsidRPr="00356B89" w:rsidRDefault="00F56E7D" w:rsidP="002529A6">
            <w:pPr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Bakterie grupy coli</w:t>
            </w:r>
          </w:p>
        </w:tc>
        <w:tc>
          <w:tcPr>
            <w:tcW w:w="354" w:type="pct"/>
            <w:shd w:val="clear" w:color="auto" w:fill="FFFFFF"/>
            <w:vAlign w:val="center"/>
          </w:tcPr>
          <w:p w14:paraId="5CB0E7B1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KTJ/100ml</w:t>
            </w:r>
          </w:p>
        </w:tc>
        <w:tc>
          <w:tcPr>
            <w:tcW w:w="355" w:type="pct"/>
            <w:shd w:val="clear" w:color="auto" w:fill="FFFFFF"/>
            <w:vAlign w:val="center"/>
          </w:tcPr>
          <w:p w14:paraId="09B5485F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  <w:vAlign w:val="center"/>
          </w:tcPr>
          <w:p w14:paraId="0AA61A8A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2" w:type="pct"/>
            <w:shd w:val="clear" w:color="auto" w:fill="FFFFFF"/>
            <w:vAlign w:val="center"/>
          </w:tcPr>
          <w:p w14:paraId="2154D230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auto" w:fill="FFFFFF"/>
            <w:vAlign w:val="center"/>
          </w:tcPr>
          <w:p w14:paraId="4E103BCD" w14:textId="77777777" w:rsidR="00DB7AA2" w:rsidRPr="00356B89" w:rsidRDefault="00F56E7D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56B8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507" w:type="pct"/>
            <w:shd w:val="clear" w:color="auto" w:fill="FFFFFF"/>
            <w:vAlign w:val="center"/>
          </w:tcPr>
          <w:p w14:paraId="5FD3026F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6" w:type="pct"/>
            <w:shd w:val="clear" w:color="auto" w:fill="FFFFFF"/>
            <w:vAlign w:val="center"/>
          </w:tcPr>
          <w:p w14:paraId="3D1149CC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3" w:type="pct"/>
            <w:shd w:val="clear" w:color="auto" w:fill="FFFFFF"/>
            <w:vAlign w:val="center"/>
          </w:tcPr>
          <w:p w14:paraId="5B48D90C" w14:textId="77777777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92" w:type="pct"/>
            <w:shd w:val="clear" w:color="auto" w:fill="FFFFFF"/>
            <w:vAlign w:val="center"/>
          </w:tcPr>
          <w:p w14:paraId="14BB7535" w14:textId="63BB3E60" w:rsidR="00DB7AA2" w:rsidRPr="00356B89" w:rsidRDefault="00DB7AA2" w:rsidP="002529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1DA8C04A" w14:textId="31BCEFED" w:rsidR="00DB7AA2" w:rsidRPr="00DB7AA2" w:rsidRDefault="00DB7AA2" w:rsidP="00DB7AA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9D1DDF" w14:textId="77777777" w:rsidR="00DB7AA2" w:rsidRDefault="00DB7AA2" w:rsidP="00DB7AA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DB7AA2" w:rsidSect="00DB7AA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8ADD27D" w14:textId="158FC829" w:rsidR="00DB7AA2" w:rsidRPr="00C40A55" w:rsidRDefault="00F56E7D" w:rsidP="002529A6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  <w:r w:rsidRPr="00C40A55">
        <w:rPr>
          <w:rFonts w:ascii="Times New Roman" w:eastAsia="Times New Roman" w:hAnsi="Times New Roman" w:cs="Times New Roman"/>
          <w:b/>
          <w:bCs/>
        </w:rPr>
        <w:lastRenderedPageBreak/>
        <w:t>Załącznik nr 2</w:t>
      </w:r>
    </w:p>
    <w:p w14:paraId="380964AF" w14:textId="77777777" w:rsidR="005C3C74" w:rsidRPr="00C40A55" w:rsidRDefault="005C3C74" w:rsidP="005C3C74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  <w:r w:rsidRPr="00C40A55">
        <w:rPr>
          <w:rFonts w:ascii="Times New Roman" w:eastAsia="Times New Roman" w:hAnsi="Times New Roman" w:cs="Times New Roman"/>
          <w:b/>
          <w:bCs/>
        </w:rPr>
        <w:t>do Zasad współpracy polsko-czeskiej grupy</w:t>
      </w:r>
    </w:p>
    <w:p w14:paraId="5B6859C6" w14:textId="77777777" w:rsidR="005C3C74" w:rsidRPr="00C40A55" w:rsidRDefault="005C3C74" w:rsidP="005C3C74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  <w:r w:rsidRPr="00C40A55">
        <w:rPr>
          <w:rFonts w:ascii="Times New Roman" w:eastAsia="Times New Roman" w:hAnsi="Times New Roman" w:cs="Times New Roman"/>
          <w:b/>
          <w:bCs/>
        </w:rPr>
        <w:t>roboczej OPZ "Ochrona przed zanieczyszczeniem”</w:t>
      </w:r>
    </w:p>
    <w:p w14:paraId="4CD1EE53" w14:textId="2CB0C23E" w:rsidR="00DB7AA2" w:rsidRPr="00C40A55" w:rsidRDefault="00DB7AA2" w:rsidP="00DB7AA2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</w:p>
    <w:p w14:paraId="4461D7D8" w14:textId="70FC8E86" w:rsidR="00DB7AA2" w:rsidRPr="00C40A55" w:rsidRDefault="00F56E7D" w:rsidP="00DB7AA2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40A55">
        <w:rPr>
          <w:rFonts w:ascii="Times New Roman" w:eastAsia="Times New Roman" w:hAnsi="Times New Roman" w:cs="Times New Roman"/>
          <w:b/>
          <w:bCs/>
        </w:rPr>
        <w:t>Wykaz organizacji przeprowadzających pomiary jakości wód granicznych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3355"/>
        <w:gridCol w:w="3302"/>
      </w:tblGrid>
      <w:tr w:rsidR="00930693" w:rsidRPr="00C40A55" w14:paraId="532A0015" w14:textId="77777777" w:rsidTr="00813704">
        <w:trPr>
          <w:trHeight w:val="408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C32F0B1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Ciek graniczny</w:t>
            </w:r>
          </w:p>
        </w:tc>
        <w:tc>
          <w:tcPr>
            <w:tcW w:w="36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948A68B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Nazwa i adres organizacji badającej</w:t>
            </w:r>
          </w:p>
        </w:tc>
      </w:tr>
      <w:tr w:rsidR="00930693" w:rsidRPr="00C40A55" w14:paraId="29997A61" w14:textId="77777777" w:rsidTr="00813704">
        <w:trPr>
          <w:trHeight w:val="403"/>
        </w:trPr>
        <w:tc>
          <w:tcPr>
            <w:tcW w:w="132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51FA73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Nysa Łużycka</w:t>
            </w:r>
          </w:p>
          <w:p w14:paraId="1D01D8EF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przekrój Hrádek n. Nisou (Porajów)</w:t>
            </w:r>
          </w:p>
          <w:p w14:paraId="6AEC036A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Witka</w:t>
            </w:r>
          </w:p>
          <w:p w14:paraId="7B4BFB5B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przekrój Černousy (Zawidów)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F6CA05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Strona Polska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2B0F451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Strona Czeska</w:t>
            </w:r>
          </w:p>
        </w:tc>
      </w:tr>
      <w:tr w:rsidR="00930693" w:rsidRPr="00C40A55" w14:paraId="086F5448" w14:textId="77777777" w:rsidTr="002529A6">
        <w:trPr>
          <w:trHeight w:val="2202"/>
        </w:trPr>
        <w:tc>
          <w:tcPr>
            <w:tcW w:w="132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F8A27E" w14:textId="77777777" w:rsidR="00DB7AA2" w:rsidRPr="00C40A55" w:rsidRDefault="00DB7AA2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07EB204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Centralne Laboratorium Badawcze Głównego Inspektoratu Ochrony Środowiska, Oddział we Wrocławiu</w:t>
            </w:r>
          </w:p>
          <w:p w14:paraId="18B785C3" w14:textId="77777777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Pracownia w Jeleniej Górze</w:t>
            </w:r>
          </w:p>
          <w:p w14:paraId="0CF63085" w14:textId="77777777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Warszawska 28</w:t>
            </w:r>
          </w:p>
          <w:p w14:paraId="177FE8D8" w14:textId="5239C2E2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58-500 Jelenia Góra</w:t>
            </w:r>
          </w:p>
          <w:p w14:paraId="24F98975" w14:textId="6D2C35E5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kom 0048 514 996</w:t>
            </w:r>
            <w:r w:rsidR="006B2DDC"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226</w:t>
            </w:r>
          </w:p>
          <w:p w14:paraId="21147273" w14:textId="0E95D42D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e-mail: </w:t>
            </w:r>
            <w:hyperlink w:history="1">
              <w:r w:rsidRPr="00C40A55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j.wawrzkow@gios.gov.pl</w:t>
              </w:r>
            </w:hyperlink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BED3694" w14:textId="77777777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Povodí Labe s.p</w:t>
            </w:r>
          </w:p>
          <w:p w14:paraId="2A07C3E5" w14:textId="77777777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Vita Nejedlého 951</w:t>
            </w:r>
          </w:p>
          <w:p w14:paraId="51C8D0B5" w14:textId="77777777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500 03 Hradec Králové 3</w:t>
            </w:r>
          </w:p>
          <w:p w14:paraId="6698D9FC" w14:textId="52119770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00420 495 088</w:t>
            </w:r>
            <w:r w:rsidR="006B2DDC"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740</w:t>
            </w:r>
          </w:p>
          <w:p w14:paraId="37711A92" w14:textId="0C11494B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00420 495 088</w:t>
            </w:r>
            <w:r w:rsidR="006B2DDC"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750</w:t>
            </w:r>
          </w:p>
          <w:p w14:paraId="28776BCD" w14:textId="73F5CAC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e-mail:</w:t>
            </w:r>
            <w:hyperlink w:history="1">
              <w:r w:rsidRPr="00C40A55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cs-CZ"/>
                </w:rPr>
                <w:t>medekj@pla.cz</w:t>
              </w:r>
            </w:hyperlink>
          </w:p>
        </w:tc>
      </w:tr>
      <w:tr w:rsidR="00930693" w:rsidRPr="00C40A55" w14:paraId="0E466DB6" w14:textId="77777777" w:rsidTr="002529A6">
        <w:trPr>
          <w:trHeight w:val="2815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200FDD9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Ścinawka</w:t>
            </w:r>
          </w:p>
          <w:p w14:paraId="6B174C0D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przekrój Otovice (Tłumaczów)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733C51" w14:textId="77777777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Centralne Laboratorium Badawcze</w:t>
            </w:r>
          </w:p>
          <w:p w14:paraId="4F30073E" w14:textId="77777777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Głównego Inspektoratu Ochrony</w:t>
            </w:r>
          </w:p>
          <w:p w14:paraId="77CD8B96" w14:textId="73D1B595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Środowiska Oddział we Wrocławiu</w:t>
            </w:r>
          </w:p>
          <w:p w14:paraId="237101A4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Pracownia we Wrocławiu</w:t>
            </w:r>
          </w:p>
          <w:p w14:paraId="06129209" w14:textId="77777777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(badania wykonywane w lokalizacji w Wałbrzychu)</w:t>
            </w:r>
          </w:p>
          <w:p w14:paraId="4E64D1A2" w14:textId="77777777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A. Mickiewicza 16</w:t>
            </w:r>
          </w:p>
          <w:p w14:paraId="4158A5B4" w14:textId="6E9111CD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58-300 Wałbrzych</w:t>
            </w:r>
          </w:p>
          <w:p w14:paraId="201146B0" w14:textId="6E7B2460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kom 0048 514 996</w:t>
            </w:r>
            <w:r w:rsidR="006B2DDC"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226</w:t>
            </w:r>
          </w:p>
          <w:p w14:paraId="00D9BBEB" w14:textId="631E64E3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e-mail: </w:t>
            </w:r>
            <w:hyperlink w:history="1">
              <w:r w:rsidRPr="00C40A55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j.wawrzkow@gios.gov.pl</w:t>
              </w:r>
            </w:hyperlink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C0ACB76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Povodí Labe s.p.</w:t>
            </w:r>
          </w:p>
          <w:p w14:paraId="19E3E5C5" w14:textId="77777777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Víta Nejedlého 951</w:t>
            </w:r>
          </w:p>
          <w:p w14:paraId="6D1F607C" w14:textId="77777777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500 03 Hradec Králové 3</w:t>
            </w:r>
          </w:p>
          <w:p w14:paraId="0F3A28AA" w14:textId="6237A969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00420 495 088</w:t>
            </w:r>
            <w:r w:rsidR="006B2DDC"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740</w:t>
            </w:r>
          </w:p>
          <w:p w14:paraId="5C277A1E" w14:textId="0C1240C2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00420 495 088</w:t>
            </w:r>
            <w:r w:rsidR="006B2DDC"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750</w:t>
            </w:r>
          </w:p>
          <w:p w14:paraId="052C4457" w14:textId="02504303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e-mail:</w:t>
            </w:r>
            <w:hyperlink w:history="1">
              <w:r w:rsidRPr="00C40A55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cs-CZ"/>
                </w:rPr>
                <w:t>medekj@pla.cz</w:t>
              </w:r>
            </w:hyperlink>
          </w:p>
        </w:tc>
      </w:tr>
      <w:tr w:rsidR="00930693" w:rsidRPr="00C40A55" w14:paraId="715B0D18" w14:textId="77777777" w:rsidTr="002529A6">
        <w:trPr>
          <w:trHeight w:val="1977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BAA1F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Biała Głuchołaska</w:t>
            </w:r>
          </w:p>
          <w:p w14:paraId="71EA3A48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przekrój Głuchołazy</w:t>
            </w:r>
          </w:p>
          <w:p w14:paraId="41CABFE3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Złoty potok przekrój powyżej granicy państwa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660AC94" w14:textId="77777777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Centralne Laboratorium Badawcze Głównego Inspektoratu Ochrony Środowiska Oddział w Opolu</w:t>
            </w:r>
          </w:p>
          <w:p w14:paraId="3539BF26" w14:textId="77777777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Nysy Łużyckiej 42</w:t>
            </w:r>
          </w:p>
          <w:p w14:paraId="3A87650B" w14:textId="77777777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45-035 Opole</w:t>
            </w:r>
          </w:p>
          <w:p w14:paraId="341623EC" w14:textId="7F0363D2" w:rsidR="006B2DDC" w:rsidRPr="00C40A55" w:rsidRDefault="00F56E7D" w:rsidP="006B2D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kom 0048 514 999</w:t>
            </w:r>
            <w:r w:rsidR="006B2DDC"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293</w:t>
            </w:r>
          </w:p>
          <w:p w14:paraId="46ED2E87" w14:textId="52697E11" w:rsidR="00DB7AA2" w:rsidRPr="00C40A55" w:rsidRDefault="00F56E7D" w:rsidP="006B2D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e-mail: </w:t>
            </w:r>
            <w:hyperlink w:history="1">
              <w:r w:rsidRPr="00C40A55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T.Gasiorowska@gios.gov.pl</w:t>
              </w:r>
            </w:hyperlink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41EC63D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Povodí Odry s.p.</w:t>
            </w:r>
          </w:p>
          <w:p w14:paraId="41C96AD0" w14:textId="77777777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Varenská 49</w:t>
            </w:r>
          </w:p>
          <w:p w14:paraId="6752E0C6" w14:textId="77777777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701 26 Ostrava</w:t>
            </w:r>
          </w:p>
          <w:p w14:paraId="3CC857B4" w14:textId="6E2FAA8A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00420 596 657</w:t>
            </w:r>
            <w:r w:rsidR="006B2DDC"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332</w:t>
            </w:r>
          </w:p>
          <w:p w14:paraId="0879EC5C" w14:textId="2074A981" w:rsidR="006B2DDC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00420 596 657</w:t>
            </w:r>
            <w:r w:rsidR="006B2DDC"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340</w:t>
            </w:r>
          </w:p>
          <w:p w14:paraId="7BA7D9CA" w14:textId="22C2065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e-mail:</w:t>
            </w:r>
            <w:hyperlink w:history="1">
              <w:r w:rsidRPr="00C40A55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cs-CZ"/>
                </w:rPr>
                <w:t>laborator@pod.cz</w:t>
              </w:r>
            </w:hyperlink>
          </w:p>
        </w:tc>
      </w:tr>
      <w:tr w:rsidR="00930693" w:rsidRPr="00C40A55" w14:paraId="618E8D8A" w14:textId="77777777" w:rsidTr="002529A6">
        <w:trPr>
          <w:trHeight w:val="2530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D125584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Odra</w:t>
            </w:r>
          </w:p>
          <w:p w14:paraId="53679646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przekrój Bohumín (Chałupki)</w:t>
            </w:r>
          </w:p>
          <w:p w14:paraId="47FCD5CB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Olza</w:t>
            </w:r>
          </w:p>
          <w:p w14:paraId="49A2A8D5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- przekrój ujście</w:t>
            </w:r>
          </w:p>
          <w:p w14:paraId="0033D64A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- przekrój powyżej Piotrówki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FB07F5E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Centralne Laboratorium Badawcze Głównego Inspektoratu Ochrony Środowiska Oddział w Katowicach</w:t>
            </w:r>
          </w:p>
          <w:p w14:paraId="1113129E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Pracownia w Bielsku-Białej</w:t>
            </w:r>
          </w:p>
          <w:p w14:paraId="6C91F5AF" w14:textId="77777777" w:rsidR="000972CF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Partyzantów 117</w:t>
            </w:r>
          </w:p>
          <w:p w14:paraId="491051D3" w14:textId="77777777" w:rsidR="000972CF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43-316 Bielsko-Biała</w:t>
            </w:r>
          </w:p>
          <w:p w14:paraId="6690B018" w14:textId="77777777" w:rsidR="000972CF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0048 33 812 30 37 wew. 119</w:t>
            </w:r>
          </w:p>
          <w:p w14:paraId="23BDF49E" w14:textId="379EEA56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0048 514 331 630</w:t>
            </w:r>
          </w:p>
          <w:p w14:paraId="495E143C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e-mail: </w:t>
            </w:r>
            <w:hyperlink w:history="1">
              <w:r w:rsidRPr="00C40A55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B.Neter@gios.gov.pl</w:t>
              </w:r>
            </w:hyperlink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B1C89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Povodí Odry s.p.</w:t>
            </w:r>
          </w:p>
          <w:p w14:paraId="5766809D" w14:textId="1260DE8E" w:rsidR="00AB1475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Varenská 49</w:t>
            </w:r>
          </w:p>
          <w:p w14:paraId="5422E9B0" w14:textId="77777777" w:rsidR="00AB1475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701 26 Ostrava</w:t>
            </w:r>
          </w:p>
          <w:p w14:paraId="1ADBB956" w14:textId="155B1D50" w:rsidR="00AB1475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00420 596 657</w:t>
            </w:r>
            <w:r w:rsidR="00AB1475"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332</w:t>
            </w:r>
          </w:p>
          <w:p w14:paraId="10D7DD6A" w14:textId="2CA3235E" w:rsidR="00AB1475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00420 596 657</w:t>
            </w:r>
            <w:r w:rsidR="00AB1475"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340</w:t>
            </w:r>
          </w:p>
          <w:p w14:paraId="2BC28C56" w14:textId="483ABFAB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e-mail:</w:t>
            </w:r>
            <w:hyperlink w:history="1">
              <w:r w:rsidRPr="00C40A55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cs-CZ"/>
                </w:rPr>
                <w:t>laborator@pod.cz</w:t>
              </w:r>
            </w:hyperlink>
          </w:p>
        </w:tc>
      </w:tr>
    </w:tbl>
    <w:p w14:paraId="554E8E2E" w14:textId="296F99F4" w:rsidR="00DB7AA2" w:rsidRPr="00C40A55" w:rsidRDefault="00DB7AA2" w:rsidP="00DB7AA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71E15C" w14:textId="435F596A" w:rsidR="00813704" w:rsidRPr="00C40A55" w:rsidRDefault="00F56E7D">
      <w:pPr>
        <w:rPr>
          <w:rFonts w:ascii="Times New Roman" w:hAnsi="Times New Roman" w:cs="Times New Roman"/>
          <w:sz w:val="24"/>
          <w:szCs w:val="24"/>
        </w:rPr>
      </w:pPr>
      <w:r w:rsidRPr="00C40A55">
        <w:rPr>
          <w:rFonts w:ascii="Times New Roman" w:hAnsi="Times New Roman" w:cs="Times New Roman"/>
          <w:sz w:val="24"/>
          <w:szCs w:val="24"/>
        </w:rPr>
        <w:br w:type="page"/>
      </w:r>
    </w:p>
    <w:p w14:paraId="114B30CE" w14:textId="6B2C67AE" w:rsidR="00DB7AA2" w:rsidRPr="00C40A55" w:rsidRDefault="00F56E7D" w:rsidP="002529A6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  <w:r w:rsidRPr="00C40A55">
        <w:rPr>
          <w:rFonts w:ascii="Times New Roman" w:eastAsia="Times New Roman" w:hAnsi="Times New Roman" w:cs="Times New Roman"/>
          <w:b/>
          <w:bCs/>
        </w:rPr>
        <w:lastRenderedPageBreak/>
        <w:t>Załącznik nr 3</w:t>
      </w:r>
    </w:p>
    <w:p w14:paraId="4D48F6B7" w14:textId="77777777" w:rsidR="005C3C74" w:rsidRPr="00C40A55" w:rsidRDefault="005C3C74" w:rsidP="005C3C74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  <w:r w:rsidRPr="00C40A55">
        <w:rPr>
          <w:rFonts w:ascii="Times New Roman" w:eastAsia="Times New Roman" w:hAnsi="Times New Roman" w:cs="Times New Roman"/>
          <w:b/>
          <w:bCs/>
        </w:rPr>
        <w:t>do Zasad współpracy polsko-czeskiej grupy</w:t>
      </w:r>
    </w:p>
    <w:p w14:paraId="032DB901" w14:textId="77777777" w:rsidR="005C3C74" w:rsidRPr="00C40A55" w:rsidRDefault="005C3C74" w:rsidP="005C3C74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  <w:r w:rsidRPr="00C40A55">
        <w:rPr>
          <w:rFonts w:ascii="Times New Roman" w:eastAsia="Times New Roman" w:hAnsi="Times New Roman" w:cs="Times New Roman"/>
          <w:b/>
          <w:bCs/>
        </w:rPr>
        <w:t>roboczej OPZ "Ochrona przed zanieczyszczeniem”</w:t>
      </w:r>
    </w:p>
    <w:p w14:paraId="6F89EE5D" w14:textId="77777777" w:rsidR="00813704" w:rsidRPr="00C40A55" w:rsidRDefault="00813704" w:rsidP="00DB7AA2">
      <w:pPr>
        <w:spacing w:line="276" w:lineRule="auto"/>
        <w:jc w:val="both"/>
        <w:rPr>
          <w:rFonts w:ascii="Times New Roman" w:hAnsi="Times New Roman" w:cs="Times New Roman"/>
        </w:rPr>
      </w:pPr>
    </w:p>
    <w:p w14:paraId="698959EB" w14:textId="77777777" w:rsidR="00813704" w:rsidRPr="00C40A55" w:rsidRDefault="00813704" w:rsidP="00DB7AA2">
      <w:pPr>
        <w:spacing w:line="276" w:lineRule="auto"/>
        <w:jc w:val="both"/>
        <w:rPr>
          <w:rFonts w:ascii="Times New Roman" w:hAnsi="Times New Roman" w:cs="Times New Roman"/>
        </w:rPr>
      </w:pPr>
    </w:p>
    <w:p w14:paraId="0FBAA5F8" w14:textId="554B83A8" w:rsidR="00DB7AA2" w:rsidRPr="00C40A55" w:rsidRDefault="00F56E7D" w:rsidP="00813704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40A55">
        <w:rPr>
          <w:rFonts w:ascii="Times New Roman" w:eastAsia="Times New Roman" w:hAnsi="Times New Roman" w:cs="Times New Roman"/>
          <w:b/>
          <w:bCs/>
        </w:rPr>
        <w:t>Metodologia oceny jakości wód granicznych</w:t>
      </w:r>
    </w:p>
    <w:p w14:paraId="4D06A477" w14:textId="77777777" w:rsidR="00813704" w:rsidRPr="00C40A55" w:rsidRDefault="00813704" w:rsidP="002529A6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7326AB66" w14:textId="2305ED3D" w:rsidR="00DB7AA2" w:rsidRPr="00C40A55" w:rsidRDefault="00F56E7D" w:rsidP="002529A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40A55">
        <w:rPr>
          <w:rFonts w:ascii="Times New Roman" w:eastAsia="Times New Roman" w:hAnsi="Times New Roman" w:cs="Times New Roman"/>
        </w:rPr>
        <w:t>Ocenę jakości wód granicznych przeprowadza się poprzez porównanie wartości charakterystycznych poszczególnych wskaźników zanieczyszczeń z normami jakości wód dla pięciu klas jakości wód powierzchniowych: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3"/>
        <w:gridCol w:w="3305"/>
      </w:tblGrid>
      <w:tr w:rsidR="00930693" w:rsidRPr="00C40A55" w14:paraId="3125558F" w14:textId="77777777" w:rsidTr="000972CF">
        <w:trPr>
          <w:trHeight w:val="3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75C810" w14:textId="77777777" w:rsidR="00DB7AA2" w:rsidRPr="00C40A55" w:rsidRDefault="00F56E7D" w:rsidP="000972CF">
            <w:pPr>
              <w:spacing w:after="0" w:line="276" w:lineRule="auto"/>
              <w:rPr>
                <w:rFonts w:ascii="Times New Roman" w:eastAsia="Times New Roman" w:hAnsi="Times New Roman" w:cs="Times New Roman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I. klasa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89022D" w14:textId="77777777" w:rsidR="00DB7AA2" w:rsidRPr="00C40A55" w:rsidRDefault="00F56E7D" w:rsidP="000972CF">
            <w:pPr>
              <w:spacing w:after="0" w:line="276" w:lineRule="auto"/>
              <w:rPr>
                <w:rFonts w:ascii="Times New Roman" w:eastAsia="Times New Roman" w:hAnsi="Times New Roman" w:cs="Times New Roman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woda niezanieczyszczona</w:t>
            </w:r>
          </w:p>
        </w:tc>
      </w:tr>
      <w:tr w:rsidR="00930693" w:rsidRPr="00C40A55" w14:paraId="06176FAB" w14:textId="77777777" w:rsidTr="000972CF">
        <w:trPr>
          <w:trHeight w:val="54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50274B" w14:textId="77777777" w:rsidR="00DB7AA2" w:rsidRPr="00C40A55" w:rsidRDefault="00F56E7D" w:rsidP="000972CF">
            <w:pPr>
              <w:spacing w:after="0" w:line="276" w:lineRule="auto"/>
              <w:rPr>
                <w:rFonts w:ascii="Times New Roman" w:eastAsia="Times New Roman" w:hAnsi="Times New Roman" w:cs="Times New Roman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II. klasa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0021A5" w14:textId="77777777" w:rsidR="00DB7AA2" w:rsidRPr="00C40A55" w:rsidRDefault="00F56E7D" w:rsidP="000972CF">
            <w:pPr>
              <w:spacing w:after="0" w:line="276" w:lineRule="auto"/>
              <w:rPr>
                <w:rFonts w:ascii="Times New Roman" w:eastAsia="Times New Roman" w:hAnsi="Times New Roman" w:cs="Times New Roman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woda lekko zanieczyszczona</w:t>
            </w:r>
          </w:p>
        </w:tc>
      </w:tr>
      <w:tr w:rsidR="00930693" w:rsidRPr="00C40A55" w14:paraId="15A440E5" w14:textId="77777777" w:rsidTr="000972CF">
        <w:trPr>
          <w:trHeight w:val="53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23A1E0" w14:textId="77777777" w:rsidR="00DB7AA2" w:rsidRPr="00C40A55" w:rsidRDefault="00F56E7D" w:rsidP="000972CF">
            <w:pPr>
              <w:spacing w:after="0" w:line="276" w:lineRule="auto"/>
              <w:rPr>
                <w:rFonts w:ascii="Times New Roman" w:eastAsia="Times New Roman" w:hAnsi="Times New Roman" w:cs="Times New Roman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III. klasa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05F568" w14:textId="77777777" w:rsidR="00DB7AA2" w:rsidRPr="00C40A55" w:rsidRDefault="00F56E7D" w:rsidP="000972CF">
            <w:pPr>
              <w:spacing w:after="0" w:line="276" w:lineRule="auto"/>
              <w:rPr>
                <w:rFonts w:ascii="Times New Roman" w:eastAsia="Times New Roman" w:hAnsi="Times New Roman" w:cs="Times New Roman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woda zanieczyszczona</w:t>
            </w:r>
          </w:p>
        </w:tc>
      </w:tr>
      <w:tr w:rsidR="00930693" w:rsidRPr="00C40A55" w14:paraId="4C89158B" w14:textId="77777777" w:rsidTr="000972CF">
        <w:trPr>
          <w:trHeight w:val="53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5A47D0" w14:textId="77777777" w:rsidR="00DB7AA2" w:rsidRPr="00C40A55" w:rsidRDefault="00F56E7D" w:rsidP="000972CF">
            <w:pPr>
              <w:spacing w:after="0" w:line="276" w:lineRule="auto"/>
              <w:rPr>
                <w:rFonts w:ascii="Times New Roman" w:eastAsia="Times New Roman" w:hAnsi="Times New Roman" w:cs="Times New Roman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IV. klasa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81E05C" w14:textId="77777777" w:rsidR="00DB7AA2" w:rsidRPr="00C40A55" w:rsidRDefault="00F56E7D" w:rsidP="000972CF">
            <w:pPr>
              <w:spacing w:after="0" w:line="276" w:lineRule="auto"/>
              <w:rPr>
                <w:rFonts w:ascii="Times New Roman" w:eastAsia="Times New Roman" w:hAnsi="Times New Roman" w:cs="Times New Roman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woda mocno zanieczyszczona</w:t>
            </w:r>
          </w:p>
        </w:tc>
      </w:tr>
      <w:tr w:rsidR="00930693" w:rsidRPr="00C40A55" w14:paraId="46A27F46" w14:textId="77777777" w:rsidTr="000972CF">
        <w:trPr>
          <w:trHeight w:val="3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0C5388" w14:textId="77777777" w:rsidR="00DB7AA2" w:rsidRPr="00C40A55" w:rsidRDefault="00F56E7D" w:rsidP="000972CF">
            <w:pPr>
              <w:spacing w:after="0" w:line="276" w:lineRule="auto"/>
              <w:rPr>
                <w:rFonts w:ascii="Times New Roman" w:eastAsia="Times New Roman" w:hAnsi="Times New Roman" w:cs="Times New Roman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V. klasa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ED60AB" w14:textId="77777777" w:rsidR="00DB7AA2" w:rsidRPr="00C40A55" w:rsidRDefault="00F56E7D" w:rsidP="000972CF">
            <w:pPr>
              <w:spacing w:after="0" w:line="276" w:lineRule="auto"/>
              <w:rPr>
                <w:rFonts w:ascii="Times New Roman" w:eastAsia="Times New Roman" w:hAnsi="Times New Roman" w:cs="Times New Roman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woda bardzo mocno zanieczyszczona</w:t>
            </w:r>
          </w:p>
        </w:tc>
      </w:tr>
    </w:tbl>
    <w:p w14:paraId="6E693FFA" w14:textId="69E69AC2" w:rsidR="00DB7AA2" w:rsidRPr="00C40A55" w:rsidRDefault="00DB7AA2" w:rsidP="00DB7AA2">
      <w:pPr>
        <w:spacing w:line="276" w:lineRule="auto"/>
        <w:jc w:val="both"/>
        <w:rPr>
          <w:rFonts w:ascii="Times New Roman" w:hAnsi="Times New Roman" w:cs="Times New Roman"/>
        </w:rPr>
      </w:pPr>
    </w:p>
    <w:p w14:paraId="2CD1D368" w14:textId="38DB7088" w:rsidR="00DB7AA2" w:rsidRPr="00C40A55" w:rsidRDefault="00F56E7D" w:rsidP="0081370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Wartość charakterystyczna wskaźnika zanieczyszczenia to wartość z 90% prawdopodobieństwem nieprzekroczenia (w przypadku tlenu rozpuszczonego z 10% prawdopodobieństwem nieprzekroczenia).</w:t>
      </w:r>
    </w:p>
    <w:p w14:paraId="5578DA03" w14:textId="77777777" w:rsidR="00813704" w:rsidRPr="00C40A55" w:rsidRDefault="00813704" w:rsidP="0081370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val="cs-CZ" w:eastAsia="pl-PL"/>
        </w:rPr>
      </w:pPr>
    </w:p>
    <w:p w14:paraId="08A7FEB9" w14:textId="77777777" w:rsidR="00DB7AA2" w:rsidRPr="00C40A55" w:rsidRDefault="00F56E7D" w:rsidP="00813704">
      <w:pPr>
        <w:spacing w:after="0" w:line="360" w:lineRule="auto"/>
        <w:jc w:val="both"/>
        <w:rPr>
          <w:rFonts w:ascii="Times New Roman" w:eastAsia="Times New Roman" w:hAnsi="Times New Roman" w:cs="Times New Roman"/>
          <w:lang w:val="cs-CZ" w:eastAsia="pl-PL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Wartość charakterystyczna jest obliczana za pomocą równania:</w:t>
      </w:r>
    </w:p>
    <w:p w14:paraId="1051E52C" w14:textId="77777777" w:rsidR="00813704" w:rsidRPr="00C40A55" w:rsidRDefault="00F56E7D" w:rsidP="0081370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C</w:t>
      </w:r>
      <w:r w:rsidRPr="00C40A55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90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 xml:space="preserve"> = d</w:t>
      </w:r>
      <w:r w:rsidRPr="00C40A55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90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 xml:space="preserve"> * X</w:t>
      </w:r>
      <w:r w:rsidRPr="00C40A55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k-1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 xml:space="preserve"> + (1- d</w:t>
      </w:r>
      <w:r w:rsidRPr="00C40A55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90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) * X</w:t>
      </w:r>
      <w:r w:rsidRPr="00C40A55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k</w:t>
      </w:r>
    </w:p>
    <w:p w14:paraId="2FE3ACB1" w14:textId="0D355B3C" w:rsidR="00DB7AA2" w:rsidRPr="00C40A55" w:rsidRDefault="00F56E7D" w:rsidP="00813704">
      <w:pPr>
        <w:spacing w:after="0" w:line="360" w:lineRule="auto"/>
        <w:jc w:val="both"/>
        <w:rPr>
          <w:rFonts w:ascii="Times New Roman" w:eastAsia="Times New Roman" w:hAnsi="Times New Roman" w:cs="Times New Roman"/>
          <w:lang w:val="cs-CZ" w:eastAsia="pl-PL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gdzie:</w:t>
      </w:r>
      <w:r w:rsidR="000972CF" w:rsidRPr="00C40A55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n - liczba badań</w:t>
      </w:r>
    </w:p>
    <w:p w14:paraId="5DB61C89" w14:textId="4718F59A" w:rsidR="00813704" w:rsidRPr="00C40A55" w:rsidRDefault="00F56E7D" w:rsidP="000972C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k - wartość zaokrąglona do liczby całkowitej k = (0</w:t>
      </w:r>
      <w:r w:rsidR="00AB1475" w:rsidRPr="00C40A55">
        <w:rPr>
          <w:rFonts w:ascii="Times New Roman" w:eastAsia="Times New Roman" w:hAnsi="Times New Roman" w:cs="Times New Roman"/>
          <w:color w:val="000000"/>
          <w:lang w:eastAsia="cs-CZ"/>
        </w:rPr>
        <w:t>,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1 * n + 0</w:t>
      </w:r>
      <w:r w:rsidR="00AB1475" w:rsidRPr="00C40A55">
        <w:rPr>
          <w:rFonts w:ascii="Times New Roman" w:eastAsia="Times New Roman" w:hAnsi="Times New Roman" w:cs="Times New Roman"/>
          <w:color w:val="000000"/>
          <w:lang w:eastAsia="cs-CZ"/>
        </w:rPr>
        <w:t>,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34)</w:t>
      </w:r>
    </w:p>
    <w:p w14:paraId="4C64BF97" w14:textId="2E71ABE2" w:rsidR="00DB7AA2" w:rsidRPr="00C40A55" w:rsidRDefault="00F56E7D" w:rsidP="000972C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d</w:t>
      </w:r>
      <w:r w:rsidRPr="00C40A55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90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 xml:space="preserve"> = k - (0,1 * n + 0,34)</w:t>
      </w:r>
    </w:p>
    <w:p w14:paraId="59DBB718" w14:textId="5D0C042F" w:rsidR="00813704" w:rsidRPr="00C40A55" w:rsidRDefault="00813704" w:rsidP="0081370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</w:p>
    <w:p w14:paraId="16C3DAE2" w14:textId="77777777" w:rsidR="00813704" w:rsidRPr="00C40A55" w:rsidRDefault="00F56E7D" w:rsidP="0081370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val="cs-CZ" w:eastAsia="cs-CZ"/>
        </w:rPr>
      </w:pPr>
      <w:r w:rsidRPr="00C40A55">
        <w:rPr>
          <w:rFonts w:ascii="Times New Roman" w:eastAsia="Times New Roman" w:hAnsi="Times New Roman" w:cs="Times New Roman"/>
          <w:color w:val="000000"/>
          <w:u w:val="single"/>
          <w:lang w:eastAsia="cs-CZ"/>
        </w:rPr>
        <w:t>Wartość charakterystyczna dla zbioru 12 wyników monitorowania jest obliczana przy użyciu wzoru</w:t>
      </w:r>
    </w:p>
    <w:p w14:paraId="5016F406" w14:textId="24E9A268" w:rsidR="00DB7AA2" w:rsidRPr="00C40A55" w:rsidRDefault="00F56E7D" w:rsidP="00813704">
      <w:pPr>
        <w:spacing w:after="0" w:line="360" w:lineRule="auto"/>
        <w:jc w:val="both"/>
        <w:rPr>
          <w:rFonts w:ascii="Times New Roman" w:eastAsia="Times New Roman" w:hAnsi="Times New Roman" w:cs="Times New Roman"/>
          <w:lang w:val="cs-CZ" w:eastAsia="pl-PL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C</w:t>
      </w:r>
      <w:r w:rsidRPr="00C40A55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90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 xml:space="preserve"> = 0</w:t>
      </w:r>
      <w:r w:rsidR="000972CF" w:rsidRPr="00C40A55">
        <w:rPr>
          <w:rFonts w:ascii="Times New Roman" w:eastAsia="Times New Roman" w:hAnsi="Times New Roman" w:cs="Times New Roman"/>
          <w:color w:val="000000"/>
          <w:lang w:eastAsia="cs-CZ"/>
        </w:rPr>
        <w:t>,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46 * X</w:t>
      </w:r>
      <w:r w:rsidRPr="00C40A55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1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 xml:space="preserve"> + 0</w:t>
      </w:r>
      <w:r w:rsidR="000972CF" w:rsidRPr="00C40A55">
        <w:rPr>
          <w:rFonts w:ascii="Times New Roman" w:eastAsia="Times New Roman" w:hAnsi="Times New Roman" w:cs="Times New Roman"/>
          <w:color w:val="000000"/>
          <w:lang w:eastAsia="cs-CZ"/>
        </w:rPr>
        <w:t>,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54 * X</w:t>
      </w:r>
      <w:r w:rsidRPr="00C40A55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2</w:t>
      </w:r>
    </w:p>
    <w:p w14:paraId="1B9C60CD" w14:textId="77777777" w:rsidR="00DB7AA2" w:rsidRPr="00C40A55" w:rsidRDefault="00F56E7D" w:rsidP="00813704">
      <w:pPr>
        <w:spacing w:after="0" w:line="360" w:lineRule="auto"/>
        <w:jc w:val="both"/>
        <w:rPr>
          <w:rFonts w:ascii="Times New Roman" w:eastAsia="Times New Roman" w:hAnsi="Times New Roman" w:cs="Times New Roman"/>
          <w:lang w:val="cs-CZ" w:eastAsia="pl-PL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gdzie: X</w:t>
      </w:r>
      <w:r w:rsidRPr="00C40A55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1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 xml:space="preserve"> i X</w:t>
      </w:r>
      <w:r w:rsidRPr="00C40A55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2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 xml:space="preserve"> to pierwszy i drugi najbardziej niekorzystny wynik.</w:t>
      </w:r>
    </w:p>
    <w:p w14:paraId="04C719DC" w14:textId="77777777" w:rsidR="00813704" w:rsidRPr="00C40A55" w:rsidRDefault="00813704" w:rsidP="00813704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</w:p>
    <w:p w14:paraId="47EC6FD9" w14:textId="32083C82" w:rsidR="00DB7AA2" w:rsidRPr="00C40A55" w:rsidRDefault="00F56E7D" w:rsidP="000972C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W przypadku osiągnięcia wartości granicznej między poszczególnymi klasami, klasyfikacja do klasy jest określana na podstawie większości uzyskanych wyników.</w:t>
      </w:r>
    </w:p>
    <w:p w14:paraId="33DD3B03" w14:textId="7CCF0510" w:rsidR="00DB7AA2" w:rsidRPr="00C40A55" w:rsidRDefault="00F56E7D" w:rsidP="0081370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 xml:space="preserve">W przypadku, gdy niektóre wyniki pomiarów są poniżej granicy </w:t>
      </w:r>
      <w:r w:rsidR="0049322D" w:rsidRPr="00C40A55">
        <w:rPr>
          <w:rFonts w:ascii="Times New Roman" w:eastAsia="Times New Roman" w:hAnsi="Times New Roman" w:cs="Times New Roman"/>
          <w:color w:val="000000"/>
          <w:lang w:eastAsia="cs-CZ"/>
        </w:rPr>
        <w:t>oznaczalności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 xml:space="preserve">, do obliczeń zostanie użyta połowa wartości granicy </w:t>
      </w:r>
      <w:r w:rsidR="0049322D" w:rsidRPr="00C40A55">
        <w:rPr>
          <w:rFonts w:ascii="Times New Roman" w:eastAsia="Times New Roman" w:hAnsi="Times New Roman" w:cs="Times New Roman"/>
          <w:color w:val="000000"/>
          <w:lang w:eastAsia="cs-CZ"/>
        </w:rPr>
        <w:t>oznaczalności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 xml:space="preserve">. Jeśli obliczona wartość końcowa jest poniżej granicy </w:t>
      </w:r>
      <w:r w:rsidR="0049322D" w:rsidRPr="00C40A55">
        <w:rPr>
          <w:rFonts w:ascii="Times New Roman" w:eastAsia="Times New Roman" w:hAnsi="Times New Roman" w:cs="Times New Roman"/>
          <w:color w:val="000000"/>
          <w:lang w:eastAsia="cs-CZ"/>
        </w:rPr>
        <w:t>oznaczalności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 xml:space="preserve">, wartość końcowa zostanie zdefiniowana jako poniżej granicy </w:t>
      </w:r>
      <w:r w:rsidR="0049322D" w:rsidRPr="00C40A55">
        <w:rPr>
          <w:rFonts w:ascii="Times New Roman" w:eastAsia="Times New Roman" w:hAnsi="Times New Roman" w:cs="Times New Roman"/>
          <w:color w:val="000000"/>
          <w:lang w:eastAsia="cs-CZ"/>
        </w:rPr>
        <w:t>oznaczalności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.</w:t>
      </w:r>
    </w:p>
    <w:p w14:paraId="492DB2DD" w14:textId="434D8961" w:rsidR="00DB7AA2" w:rsidRPr="00C40A55" w:rsidRDefault="00F56E7D" w:rsidP="0081370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lastRenderedPageBreak/>
        <w:t>W przypadku braku dwunastu pomiarów dla danego wskaźnika w danym roku, wartość charakterystyczna zostanie zastąpiona średnią arytmetyczną, a wskaźnik nie zostanie sklasyfikowany w danym roku.</w:t>
      </w:r>
    </w:p>
    <w:p w14:paraId="3F966565" w14:textId="77777777" w:rsidR="00813704" w:rsidRPr="00C40A55" w:rsidRDefault="00813704" w:rsidP="0081370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cs-CZ" w:eastAsia="cs-CZ"/>
        </w:rPr>
      </w:pPr>
    </w:p>
    <w:p w14:paraId="79339AC7" w14:textId="2812BA75" w:rsidR="00DB7AA2" w:rsidRPr="00C40A55" w:rsidRDefault="00F56E7D" w:rsidP="0081370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cs-CZ" w:eastAsia="cs-CZ"/>
        </w:rPr>
      </w:pPr>
      <w:r w:rsidRPr="00C40A55">
        <w:rPr>
          <w:rFonts w:ascii="Times New Roman" w:eastAsia="Times New Roman" w:hAnsi="Times New Roman" w:cs="Times New Roman"/>
          <w:b/>
          <w:bCs/>
          <w:color w:val="000000"/>
          <w:lang w:eastAsia="cs-CZ"/>
        </w:rPr>
        <w:t xml:space="preserve">Ocena </w:t>
      </w:r>
      <w:r w:rsidR="00A1223B" w:rsidRPr="00C40A55">
        <w:rPr>
          <w:rFonts w:ascii="Times New Roman" w:eastAsia="Times New Roman" w:hAnsi="Times New Roman" w:cs="Times New Roman"/>
          <w:b/>
          <w:bCs/>
          <w:color w:val="000000"/>
          <w:lang w:eastAsia="cs-CZ"/>
        </w:rPr>
        <w:t>zawiesiny ogólnej</w:t>
      </w:r>
    </w:p>
    <w:p w14:paraId="10FD64B3" w14:textId="1FB63736" w:rsidR="00DB7AA2" w:rsidRPr="00C40A55" w:rsidRDefault="00F56E7D" w:rsidP="0096520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 xml:space="preserve">Do oceny </w:t>
      </w:r>
      <w:r w:rsidR="00A1223B" w:rsidRPr="00C40A55">
        <w:rPr>
          <w:rFonts w:ascii="Times New Roman" w:eastAsia="Times New Roman" w:hAnsi="Times New Roman" w:cs="Times New Roman"/>
          <w:color w:val="000000"/>
          <w:lang w:eastAsia="cs-CZ"/>
        </w:rPr>
        <w:t>zawiesiny ogólnej</w:t>
      </w:r>
      <w:r w:rsidR="000972CF" w:rsidRPr="00C40A5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brane jest pod uwagę natężenie przepływu mierzone w czasie pobierania próbek. Jeśli zmierzona wartość przepływu jest wyższa niż ujednolicona wartość przepływu Q</w:t>
      </w:r>
      <w:r w:rsidRPr="00C40A55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30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 xml:space="preserve"> wymieniona dla każdego przekroju w tabeli, zmierzona wartość tego dnia dla </w:t>
      </w:r>
      <w:r w:rsidR="00A1223B" w:rsidRPr="00C40A55">
        <w:rPr>
          <w:rFonts w:ascii="Times New Roman" w:eastAsia="Times New Roman" w:hAnsi="Times New Roman" w:cs="Times New Roman"/>
          <w:color w:val="000000"/>
          <w:lang w:eastAsia="cs-CZ"/>
        </w:rPr>
        <w:t>zawiesiny ogólnej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 xml:space="preserve"> jest wyłączona z oceny.</w:t>
      </w:r>
    </w:p>
    <w:p w14:paraId="7FE92EC8" w14:textId="2AA0B4B9" w:rsidR="00DB7AA2" w:rsidRPr="00C40A55" w:rsidRDefault="00F56E7D" w:rsidP="0096520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Przepływy Q</w:t>
      </w:r>
      <w:r w:rsidRPr="00C40A55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d30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 xml:space="preserve"> (przepływy trwające 30 dni wraz z niższymi) uzgodnione między IMGW-PIB i CHMI na podstawie dostępnych danych do roku 2022 dla wybranych przekroi cieków granicznych zlewni Odry ustalone na potrzeby oceny jakości wody zgodnie z wnioskiem Grupy OPZ. Grupa HyP rekomenduje stosowanie Q</w:t>
      </w:r>
      <w:r w:rsidRPr="00C40A55">
        <w:rPr>
          <w:rFonts w:ascii="Times New Roman" w:eastAsia="Times New Roman" w:hAnsi="Times New Roman" w:cs="Times New Roman"/>
          <w:color w:val="000000"/>
          <w:vertAlign w:val="subscript"/>
          <w:lang w:eastAsia="cs-CZ"/>
        </w:rPr>
        <w:t>d30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 xml:space="preserve"> dla stacji wodowskazowej położonej najbliżej przekroju pomiarowego.</w:t>
      </w:r>
    </w:p>
    <w:p w14:paraId="1DD8BC5C" w14:textId="77777777" w:rsidR="00965205" w:rsidRPr="00C40A55" w:rsidRDefault="00965205" w:rsidP="0096520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593"/>
        <w:gridCol w:w="2472"/>
        <w:gridCol w:w="3681"/>
        <w:gridCol w:w="2316"/>
      </w:tblGrid>
      <w:tr w:rsidR="00930693" w:rsidRPr="00C40A55" w14:paraId="6853ADE9" w14:textId="77777777" w:rsidTr="00E31DA8">
        <w:trPr>
          <w:trHeight w:val="864"/>
          <w:tblHeader/>
        </w:trPr>
        <w:tc>
          <w:tcPr>
            <w:tcW w:w="327" w:type="pct"/>
            <w:shd w:val="clear" w:color="auto" w:fill="FFFFFF"/>
            <w:vAlign w:val="center"/>
          </w:tcPr>
          <w:p w14:paraId="1E68F1E0" w14:textId="77777777" w:rsidR="00DB7AA2" w:rsidRPr="00C40A55" w:rsidRDefault="00F56E7D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</w:t>
            </w:r>
          </w:p>
        </w:tc>
        <w:tc>
          <w:tcPr>
            <w:tcW w:w="1364" w:type="pct"/>
            <w:shd w:val="clear" w:color="auto" w:fill="FFFFFF"/>
            <w:vAlign w:val="center"/>
          </w:tcPr>
          <w:p w14:paraId="3B13E329" w14:textId="77777777" w:rsidR="00DB7AA2" w:rsidRPr="00C40A55" w:rsidRDefault="00F56E7D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Rzeka</w:t>
            </w:r>
          </w:p>
        </w:tc>
        <w:tc>
          <w:tcPr>
            <w:tcW w:w="2031" w:type="pct"/>
            <w:shd w:val="clear" w:color="auto" w:fill="FFFFFF"/>
            <w:vAlign w:val="center"/>
          </w:tcPr>
          <w:p w14:paraId="04FE6BFF" w14:textId="77777777" w:rsidR="00DB7AA2" w:rsidRPr="00C40A55" w:rsidRDefault="00F56E7D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Przekrój</w:t>
            </w:r>
          </w:p>
        </w:tc>
        <w:tc>
          <w:tcPr>
            <w:tcW w:w="1278" w:type="pct"/>
            <w:shd w:val="clear" w:color="auto" w:fill="FFFFFF"/>
            <w:vAlign w:val="center"/>
          </w:tcPr>
          <w:p w14:paraId="2F81CFC8" w14:textId="77777777" w:rsidR="00DB7AA2" w:rsidRPr="00C40A55" w:rsidRDefault="00F56E7D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Q</w:t>
            </w: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  <w:lang w:eastAsia="pl-PL"/>
              </w:rPr>
              <w:t>30-dniowe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[m</w:t>
            </w: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pl-PL"/>
              </w:rPr>
              <w:t>3</w:t>
            </w: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/s]</w:t>
            </w:r>
          </w:p>
          <w:p w14:paraId="220D03B3" w14:textId="77777777" w:rsidR="00DB7AA2" w:rsidRPr="00C40A55" w:rsidRDefault="00F56E7D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ujednolicone</w:t>
            </w:r>
          </w:p>
        </w:tc>
      </w:tr>
      <w:tr w:rsidR="00965205" w:rsidRPr="00C40A55" w14:paraId="1898BDF2" w14:textId="77777777" w:rsidTr="00E31DA8">
        <w:trPr>
          <w:trHeight w:val="331"/>
        </w:trPr>
        <w:tc>
          <w:tcPr>
            <w:tcW w:w="327" w:type="pct"/>
            <w:vMerge w:val="restart"/>
            <w:shd w:val="clear" w:color="auto" w:fill="FFFFFF"/>
            <w:vAlign w:val="center"/>
          </w:tcPr>
          <w:p w14:paraId="6D43B336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364" w:type="pct"/>
            <w:shd w:val="clear" w:color="auto" w:fill="FFFFFF"/>
            <w:vAlign w:val="center"/>
          </w:tcPr>
          <w:p w14:paraId="593F0A37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Odra</w:t>
            </w:r>
          </w:p>
        </w:tc>
        <w:tc>
          <w:tcPr>
            <w:tcW w:w="2031" w:type="pct"/>
            <w:shd w:val="clear" w:color="auto" w:fill="FFFFFF"/>
            <w:vAlign w:val="center"/>
          </w:tcPr>
          <w:p w14:paraId="6277B386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Chałupki</w:t>
            </w:r>
          </w:p>
        </w:tc>
        <w:tc>
          <w:tcPr>
            <w:tcW w:w="1278" w:type="pct"/>
            <w:shd w:val="clear" w:color="auto" w:fill="FFFFFF"/>
            <w:vAlign w:val="center"/>
          </w:tcPr>
          <w:p w14:paraId="252F09D4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89,3</w:t>
            </w:r>
          </w:p>
        </w:tc>
      </w:tr>
      <w:tr w:rsidR="00965205" w:rsidRPr="00C40A55" w14:paraId="49F57C17" w14:textId="77777777" w:rsidTr="00E31DA8">
        <w:trPr>
          <w:trHeight w:val="336"/>
        </w:trPr>
        <w:tc>
          <w:tcPr>
            <w:tcW w:w="327" w:type="pct"/>
            <w:vMerge/>
            <w:shd w:val="clear" w:color="auto" w:fill="FFFFFF"/>
            <w:vAlign w:val="center"/>
          </w:tcPr>
          <w:p w14:paraId="36BB9BAC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4" w:type="pct"/>
            <w:shd w:val="clear" w:color="auto" w:fill="FFFFFF"/>
            <w:vAlign w:val="center"/>
          </w:tcPr>
          <w:p w14:paraId="564FD625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Odra</w:t>
            </w:r>
          </w:p>
        </w:tc>
        <w:tc>
          <w:tcPr>
            <w:tcW w:w="2031" w:type="pct"/>
            <w:shd w:val="clear" w:color="auto" w:fill="FFFFFF"/>
            <w:vAlign w:val="center"/>
          </w:tcPr>
          <w:p w14:paraId="4FD74047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Bohumín</w:t>
            </w:r>
          </w:p>
        </w:tc>
        <w:tc>
          <w:tcPr>
            <w:tcW w:w="1278" w:type="pct"/>
            <w:shd w:val="clear" w:color="auto" w:fill="FFFFFF"/>
            <w:vAlign w:val="center"/>
          </w:tcPr>
          <w:p w14:paraId="0FC9C0C8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91,20</w:t>
            </w:r>
          </w:p>
        </w:tc>
      </w:tr>
      <w:tr w:rsidR="00965205" w:rsidRPr="00C40A55" w14:paraId="6F2BB38D" w14:textId="77777777" w:rsidTr="00E31DA8">
        <w:trPr>
          <w:trHeight w:val="653"/>
        </w:trPr>
        <w:tc>
          <w:tcPr>
            <w:tcW w:w="327" w:type="pct"/>
            <w:vMerge w:val="restart"/>
            <w:shd w:val="clear" w:color="auto" w:fill="FFFFFF"/>
            <w:vAlign w:val="center"/>
          </w:tcPr>
          <w:p w14:paraId="69A66A7A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364" w:type="pct"/>
            <w:shd w:val="clear" w:color="auto" w:fill="FFFFFF"/>
            <w:vAlign w:val="center"/>
          </w:tcPr>
          <w:p w14:paraId="304FA848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Biała Głuchołaska</w:t>
            </w:r>
          </w:p>
        </w:tc>
        <w:tc>
          <w:tcPr>
            <w:tcW w:w="2031" w:type="pct"/>
            <w:shd w:val="clear" w:color="auto" w:fill="FFFFFF"/>
            <w:vAlign w:val="center"/>
          </w:tcPr>
          <w:p w14:paraId="7AF7A373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Głuchołazy</w:t>
            </w:r>
          </w:p>
        </w:tc>
        <w:tc>
          <w:tcPr>
            <w:tcW w:w="1278" w:type="pct"/>
            <w:shd w:val="clear" w:color="auto" w:fill="FFFFFF"/>
            <w:vAlign w:val="center"/>
          </w:tcPr>
          <w:p w14:paraId="0946760E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9,30</w:t>
            </w:r>
          </w:p>
        </w:tc>
      </w:tr>
      <w:tr w:rsidR="00965205" w:rsidRPr="00C40A55" w14:paraId="3CB90389" w14:textId="77777777" w:rsidTr="00E31DA8">
        <w:trPr>
          <w:trHeight w:val="499"/>
        </w:trPr>
        <w:tc>
          <w:tcPr>
            <w:tcW w:w="327" w:type="pct"/>
            <w:vMerge/>
            <w:shd w:val="clear" w:color="auto" w:fill="FFFFFF"/>
            <w:vAlign w:val="center"/>
          </w:tcPr>
          <w:p w14:paraId="7A941876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4" w:type="pct"/>
            <w:shd w:val="clear" w:color="auto" w:fill="FFFFFF"/>
            <w:vAlign w:val="center"/>
          </w:tcPr>
          <w:p w14:paraId="1E7B6AF8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Biała Głuchołaska</w:t>
            </w:r>
          </w:p>
        </w:tc>
        <w:tc>
          <w:tcPr>
            <w:tcW w:w="2031" w:type="pct"/>
            <w:shd w:val="clear" w:color="auto" w:fill="FFFFFF"/>
            <w:vAlign w:val="center"/>
          </w:tcPr>
          <w:p w14:paraId="7FC3688F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Mikulovice</w:t>
            </w:r>
          </w:p>
        </w:tc>
        <w:tc>
          <w:tcPr>
            <w:tcW w:w="1278" w:type="pct"/>
            <w:shd w:val="clear" w:color="auto" w:fill="FFFFFF"/>
            <w:vAlign w:val="center"/>
          </w:tcPr>
          <w:p w14:paraId="068F2632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7,41</w:t>
            </w:r>
          </w:p>
        </w:tc>
      </w:tr>
      <w:tr w:rsidR="00965205" w:rsidRPr="00C40A55" w14:paraId="0A9AA6F9" w14:textId="77777777" w:rsidTr="00E31DA8">
        <w:trPr>
          <w:trHeight w:val="427"/>
        </w:trPr>
        <w:tc>
          <w:tcPr>
            <w:tcW w:w="327" w:type="pct"/>
            <w:vMerge w:val="restart"/>
            <w:shd w:val="clear" w:color="auto" w:fill="FFFFFF"/>
            <w:vAlign w:val="center"/>
          </w:tcPr>
          <w:p w14:paraId="20C98187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364" w:type="pct"/>
            <w:shd w:val="clear" w:color="auto" w:fill="FFFFFF"/>
            <w:vAlign w:val="center"/>
          </w:tcPr>
          <w:p w14:paraId="6D7ADAF4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Złoty Potok</w:t>
            </w:r>
          </w:p>
        </w:tc>
        <w:tc>
          <w:tcPr>
            <w:tcW w:w="2031" w:type="pct"/>
            <w:shd w:val="clear" w:color="auto" w:fill="FFFFFF"/>
            <w:vAlign w:val="center"/>
          </w:tcPr>
          <w:p w14:paraId="1D2EA459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Jarnołtówek</w:t>
            </w:r>
          </w:p>
        </w:tc>
        <w:tc>
          <w:tcPr>
            <w:tcW w:w="1278" w:type="pct"/>
            <w:shd w:val="clear" w:color="auto" w:fill="FFFFFF"/>
            <w:vAlign w:val="center"/>
          </w:tcPr>
          <w:p w14:paraId="2163BEC7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1,13</w:t>
            </w:r>
          </w:p>
        </w:tc>
      </w:tr>
      <w:tr w:rsidR="00965205" w:rsidRPr="00C40A55" w14:paraId="5AFAE56C" w14:textId="77777777" w:rsidTr="00E31DA8">
        <w:trPr>
          <w:trHeight w:val="413"/>
        </w:trPr>
        <w:tc>
          <w:tcPr>
            <w:tcW w:w="327" w:type="pct"/>
            <w:vMerge/>
            <w:shd w:val="clear" w:color="auto" w:fill="FFFFFF"/>
            <w:vAlign w:val="center"/>
          </w:tcPr>
          <w:p w14:paraId="6A04474A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4" w:type="pct"/>
            <w:shd w:val="clear" w:color="auto" w:fill="FFFFFF"/>
            <w:vAlign w:val="center"/>
          </w:tcPr>
          <w:p w14:paraId="412FE1DC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Złoty Potok</w:t>
            </w:r>
          </w:p>
        </w:tc>
        <w:tc>
          <w:tcPr>
            <w:tcW w:w="2031" w:type="pct"/>
            <w:shd w:val="clear" w:color="auto" w:fill="FFFFFF"/>
            <w:vAlign w:val="center"/>
          </w:tcPr>
          <w:p w14:paraId="64F8980D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Zlaté Hory</w:t>
            </w:r>
          </w:p>
        </w:tc>
        <w:tc>
          <w:tcPr>
            <w:tcW w:w="1278" w:type="pct"/>
            <w:shd w:val="clear" w:color="auto" w:fill="FFFFFF"/>
            <w:vAlign w:val="center"/>
          </w:tcPr>
          <w:p w14:paraId="2FEE107A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0,606</w:t>
            </w:r>
          </w:p>
        </w:tc>
      </w:tr>
      <w:tr w:rsidR="00965205" w:rsidRPr="00C40A55" w14:paraId="4E79D2F1" w14:textId="77777777" w:rsidTr="00E31DA8">
        <w:trPr>
          <w:trHeight w:val="403"/>
        </w:trPr>
        <w:tc>
          <w:tcPr>
            <w:tcW w:w="327" w:type="pct"/>
            <w:vMerge w:val="restart"/>
            <w:shd w:val="clear" w:color="auto" w:fill="FFFFFF"/>
            <w:vAlign w:val="center"/>
          </w:tcPr>
          <w:p w14:paraId="6640368D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364" w:type="pct"/>
            <w:shd w:val="clear" w:color="auto" w:fill="FFFFFF"/>
            <w:vAlign w:val="center"/>
          </w:tcPr>
          <w:p w14:paraId="4879A2A7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Olza</w:t>
            </w:r>
          </w:p>
        </w:tc>
        <w:tc>
          <w:tcPr>
            <w:tcW w:w="2031" w:type="pct"/>
            <w:shd w:val="clear" w:color="auto" w:fill="FFFFFF"/>
            <w:vAlign w:val="center"/>
          </w:tcPr>
          <w:p w14:paraId="7D61BBED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Powyżej ujścia Stonawki</w:t>
            </w:r>
          </w:p>
        </w:tc>
        <w:tc>
          <w:tcPr>
            <w:tcW w:w="1278" w:type="pct"/>
            <w:shd w:val="clear" w:color="auto" w:fill="FFFFFF"/>
            <w:vAlign w:val="center"/>
          </w:tcPr>
          <w:p w14:paraId="29737C71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21,80</w:t>
            </w:r>
          </w:p>
        </w:tc>
      </w:tr>
      <w:tr w:rsidR="00965205" w:rsidRPr="00C40A55" w14:paraId="39187042" w14:textId="77777777" w:rsidTr="00E31DA8">
        <w:trPr>
          <w:trHeight w:val="408"/>
        </w:trPr>
        <w:tc>
          <w:tcPr>
            <w:tcW w:w="327" w:type="pct"/>
            <w:vMerge/>
            <w:shd w:val="clear" w:color="auto" w:fill="FFFFFF"/>
            <w:vAlign w:val="center"/>
          </w:tcPr>
          <w:p w14:paraId="329E43DD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4" w:type="pct"/>
            <w:shd w:val="clear" w:color="auto" w:fill="FFFFFF"/>
            <w:vAlign w:val="center"/>
          </w:tcPr>
          <w:p w14:paraId="7C9E46BB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Olza</w:t>
            </w:r>
          </w:p>
        </w:tc>
        <w:tc>
          <w:tcPr>
            <w:tcW w:w="2031" w:type="pct"/>
            <w:shd w:val="clear" w:color="auto" w:fill="FFFFFF"/>
            <w:vAlign w:val="center"/>
          </w:tcPr>
          <w:p w14:paraId="5F0C5EC8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Czeski Cieszyn</w:t>
            </w:r>
          </w:p>
        </w:tc>
        <w:tc>
          <w:tcPr>
            <w:tcW w:w="1278" w:type="pct"/>
            <w:shd w:val="clear" w:color="auto" w:fill="FFFFFF"/>
            <w:vAlign w:val="center"/>
          </w:tcPr>
          <w:p w14:paraId="789CF964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18,2</w:t>
            </w:r>
          </w:p>
        </w:tc>
      </w:tr>
      <w:tr w:rsidR="00965205" w:rsidRPr="00C40A55" w14:paraId="79D10104" w14:textId="77777777" w:rsidTr="00E31DA8">
        <w:trPr>
          <w:trHeight w:val="403"/>
        </w:trPr>
        <w:tc>
          <w:tcPr>
            <w:tcW w:w="327" w:type="pct"/>
            <w:vMerge/>
            <w:shd w:val="clear" w:color="auto" w:fill="FFFFFF"/>
            <w:vAlign w:val="center"/>
          </w:tcPr>
          <w:p w14:paraId="7997626C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4" w:type="pct"/>
            <w:shd w:val="clear" w:color="auto" w:fill="FFFFFF"/>
            <w:vAlign w:val="center"/>
          </w:tcPr>
          <w:p w14:paraId="3FA7D041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Olza</w:t>
            </w:r>
          </w:p>
        </w:tc>
        <w:tc>
          <w:tcPr>
            <w:tcW w:w="2031" w:type="pct"/>
            <w:shd w:val="clear" w:color="auto" w:fill="FFFFFF"/>
            <w:vAlign w:val="center"/>
          </w:tcPr>
          <w:p w14:paraId="23ED33BE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Cieszyn</w:t>
            </w:r>
          </w:p>
        </w:tc>
        <w:tc>
          <w:tcPr>
            <w:tcW w:w="1278" w:type="pct"/>
            <w:shd w:val="clear" w:color="auto" w:fill="FFFFFF"/>
            <w:vAlign w:val="center"/>
          </w:tcPr>
          <w:p w14:paraId="5DE6C99A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21,0</w:t>
            </w:r>
          </w:p>
        </w:tc>
      </w:tr>
      <w:tr w:rsidR="00965205" w:rsidRPr="00C40A55" w14:paraId="5F9BFD62" w14:textId="77777777" w:rsidTr="00E31DA8">
        <w:trPr>
          <w:trHeight w:val="408"/>
        </w:trPr>
        <w:tc>
          <w:tcPr>
            <w:tcW w:w="327" w:type="pct"/>
            <w:vMerge/>
            <w:shd w:val="clear" w:color="auto" w:fill="FFFFFF"/>
            <w:vAlign w:val="center"/>
          </w:tcPr>
          <w:p w14:paraId="6221021E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4" w:type="pct"/>
            <w:shd w:val="clear" w:color="auto" w:fill="FFFFFF"/>
            <w:vAlign w:val="center"/>
          </w:tcPr>
          <w:p w14:paraId="275B28EB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Olza</w:t>
            </w:r>
          </w:p>
        </w:tc>
        <w:tc>
          <w:tcPr>
            <w:tcW w:w="2031" w:type="pct"/>
            <w:shd w:val="clear" w:color="auto" w:fill="FFFFFF"/>
            <w:vAlign w:val="center"/>
          </w:tcPr>
          <w:p w14:paraId="6F3D880D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Powyżej ujścia Stonawki</w:t>
            </w:r>
          </w:p>
        </w:tc>
        <w:tc>
          <w:tcPr>
            <w:tcW w:w="1278" w:type="pct"/>
            <w:shd w:val="clear" w:color="auto" w:fill="FFFFFF"/>
            <w:vAlign w:val="center"/>
          </w:tcPr>
          <w:p w14:paraId="26993BE8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21,80</w:t>
            </w:r>
          </w:p>
        </w:tc>
      </w:tr>
      <w:tr w:rsidR="00965205" w:rsidRPr="00C40A55" w14:paraId="4EEC663E" w14:textId="77777777" w:rsidTr="00E31DA8">
        <w:trPr>
          <w:trHeight w:val="331"/>
        </w:trPr>
        <w:tc>
          <w:tcPr>
            <w:tcW w:w="327" w:type="pct"/>
            <w:vMerge w:val="restart"/>
            <w:shd w:val="clear" w:color="auto" w:fill="FFFFFF"/>
            <w:vAlign w:val="center"/>
          </w:tcPr>
          <w:p w14:paraId="7E548B17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364" w:type="pct"/>
            <w:shd w:val="clear" w:color="auto" w:fill="FFFFFF"/>
            <w:vAlign w:val="center"/>
          </w:tcPr>
          <w:p w14:paraId="0C68E02E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Olza</w:t>
            </w:r>
          </w:p>
        </w:tc>
        <w:tc>
          <w:tcPr>
            <w:tcW w:w="2031" w:type="pct"/>
            <w:shd w:val="clear" w:color="auto" w:fill="FFFFFF"/>
            <w:vAlign w:val="center"/>
          </w:tcPr>
          <w:p w14:paraId="2E6CEAB3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Powyżej Piotrówki</w:t>
            </w:r>
          </w:p>
        </w:tc>
        <w:tc>
          <w:tcPr>
            <w:tcW w:w="1278" w:type="pct"/>
            <w:shd w:val="clear" w:color="auto" w:fill="FFFFFF"/>
            <w:vAlign w:val="center"/>
          </w:tcPr>
          <w:p w14:paraId="2374B264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26,60</w:t>
            </w:r>
          </w:p>
        </w:tc>
      </w:tr>
      <w:tr w:rsidR="00965205" w:rsidRPr="00C40A55" w14:paraId="4A71C32F" w14:textId="77777777" w:rsidTr="00E31DA8">
        <w:trPr>
          <w:trHeight w:val="336"/>
        </w:trPr>
        <w:tc>
          <w:tcPr>
            <w:tcW w:w="327" w:type="pct"/>
            <w:vMerge/>
            <w:shd w:val="clear" w:color="auto" w:fill="FFFFFF"/>
            <w:vAlign w:val="center"/>
          </w:tcPr>
          <w:p w14:paraId="5E1B300A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4" w:type="pct"/>
            <w:shd w:val="clear" w:color="auto" w:fill="FFFFFF"/>
            <w:vAlign w:val="center"/>
          </w:tcPr>
          <w:p w14:paraId="540ECF77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Olza</w:t>
            </w:r>
          </w:p>
        </w:tc>
        <w:tc>
          <w:tcPr>
            <w:tcW w:w="2031" w:type="pct"/>
            <w:shd w:val="clear" w:color="auto" w:fill="FFFFFF"/>
            <w:vAlign w:val="center"/>
          </w:tcPr>
          <w:p w14:paraId="5739EE48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Dětmarovice</w:t>
            </w:r>
          </w:p>
        </w:tc>
        <w:tc>
          <w:tcPr>
            <w:tcW w:w="1278" w:type="pct"/>
            <w:shd w:val="clear" w:color="auto" w:fill="FFFFFF"/>
            <w:vAlign w:val="center"/>
          </w:tcPr>
          <w:p w14:paraId="64772921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26,60</w:t>
            </w:r>
          </w:p>
        </w:tc>
      </w:tr>
      <w:tr w:rsidR="00965205" w:rsidRPr="00C40A55" w14:paraId="146E615A" w14:textId="77777777" w:rsidTr="00E31DA8">
        <w:trPr>
          <w:trHeight w:val="331"/>
        </w:trPr>
        <w:tc>
          <w:tcPr>
            <w:tcW w:w="327" w:type="pct"/>
            <w:vMerge/>
            <w:shd w:val="clear" w:color="auto" w:fill="FFFFFF"/>
            <w:vAlign w:val="center"/>
          </w:tcPr>
          <w:p w14:paraId="0959C702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4" w:type="pct"/>
            <w:shd w:val="clear" w:color="auto" w:fill="FFFFFF"/>
            <w:vAlign w:val="center"/>
          </w:tcPr>
          <w:p w14:paraId="54343E8A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Olza</w:t>
            </w:r>
          </w:p>
        </w:tc>
        <w:tc>
          <w:tcPr>
            <w:tcW w:w="2031" w:type="pct"/>
            <w:shd w:val="clear" w:color="auto" w:fill="FFFFFF"/>
            <w:vAlign w:val="center"/>
          </w:tcPr>
          <w:p w14:paraId="7350116A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Věřňovice</w:t>
            </w:r>
          </w:p>
        </w:tc>
        <w:tc>
          <w:tcPr>
            <w:tcW w:w="1278" w:type="pct"/>
            <w:shd w:val="clear" w:color="auto" w:fill="FFFFFF"/>
            <w:vAlign w:val="center"/>
          </w:tcPr>
          <w:p w14:paraId="61B9152E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35,1</w:t>
            </w:r>
          </w:p>
        </w:tc>
      </w:tr>
      <w:tr w:rsidR="00965205" w:rsidRPr="00C40A55" w14:paraId="5E223C4B" w14:textId="77777777" w:rsidTr="00E31DA8">
        <w:trPr>
          <w:trHeight w:val="336"/>
        </w:trPr>
        <w:tc>
          <w:tcPr>
            <w:tcW w:w="327" w:type="pct"/>
            <w:vMerge/>
            <w:shd w:val="clear" w:color="auto" w:fill="FFFFFF"/>
            <w:vAlign w:val="center"/>
          </w:tcPr>
          <w:p w14:paraId="699972CA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4" w:type="pct"/>
            <w:shd w:val="clear" w:color="auto" w:fill="FFFFFF"/>
            <w:vAlign w:val="center"/>
          </w:tcPr>
          <w:p w14:paraId="3ED598F5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Olza</w:t>
            </w:r>
          </w:p>
        </w:tc>
        <w:tc>
          <w:tcPr>
            <w:tcW w:w="2031" w:type="pct"/>
            <w:shd w:val="clear" w:color="auto" w:fill="FFFFFF"/>
            <w:vAlign w:val="center"/>
          </w:tcPr>
          <w:p w14:paraId="2359C639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Łaziska</w:t>
            </w:r>
          </w:p>
        </w:tc>
        <w:tc>
          <w:tcPr>
            <w:tcW w:w="1278" w:type="pct"/>
            <w:shd w:val="clear" w:color="auto" w:fill="FFFFFF"/>
            <w:vAlign w:val="center"/>
          </w:tcPr>
          <w:p w14:paraId="46163CAB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31,4 (2010-2020)</w:t>
            </w:r>
          </w:p>
        </w:tc>
      </w:tr>
      <w:tr w:rsidR="00930693" w:rsidRPr="00C40A55" w14:paraId="36268AC3" w14:textId="77777777" w:rsidTr="00E31DA8">
        <w:trPr>
          <w:trHeight w:val="451"/>
        </w:trPr>
        <w:tc>
          <w:tcPr>
            <w:tcW w:w="327" w:type="pct"/>
            <w:shd w:val="clear" w:color="auto" w:fill="FFFFFF"/>
            <w:vAlign w:val="center"/>
          </w:tcPr>
          <w:p w14:paraId="626FF0B8" w14:textId="77777777" w:rsidR="00DB7AA2" w:rsidRPr="00C40A55" w:rsidRDefault="00F56E7D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364" w:type="pct"/>
            <w:shd w:val="clear" w:color="auto" w:fill="FFFFFF"/>
            <w:vAlign w:val="center"/>
          </w:tcPr>
          <w:p w14:paraId="7B72BD20" w14:textId="77777777" w:rsidR="00DB7AA2" w:rsidRPr="00C40A55" w:rsidRDefault="00F56E7D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Olza</w:t>
            </w:r>
          </w:p>
        </w:tc>
        <w:tc>
          <w:tcPr>
            <w:tcW w:w="2031" w:type="pct"/>
            <w:shd w:val="clear" w:color="auto" w:fill="FFFFFF"/>
            <w:vAlign w:val="center"/>
          </w:tcPr>
          <w:p w14:paraId="7BCE5F3F" w14:textId="77777777" w:rsidR="00DB7AA2" w:rsidRPr="00C40A55" w:rsidRDefault="00F56E7D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Ujście</w:t>
            </w:r>
          </w:p>
        </w:tc>
        <w:tc>
          <w:tcPr>
            <w:tcW w:w="1278" w:type="pct"/>
            <w:shd w:val="clear" w:color="auto" w:fill="FFFFFF"/>
            <w:vAlign w:val="center"/>
          </w:tcPr>
          <w:p w14:paraId="3728E002" w14:textId="77777777" w:rsidR="00DB7AA2" w:rsidRPr="00C40A55" w:rsidRDefault="00F56E7D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32,90</w:t>
            </w:r>
          </w:p>
        </w:tc>
      </w:tr>
      <w:tr w:rsidR="00965205" w:rsidRPr="00C40A55" w14:paraId="560C11E5" w14:textId="77777777" w:rsidTr="00E31DA8">
        <w:trPr>
          <w:trHeight w:val="581"/>
        </w:trPr>
        <w:tc>
          <w:tcPr>
            <w:tcW w:w="327" w:type="pct"/>
            <w:vMerge w:val="restart"/>
            <w:shd w:val="clear" w:color="auto" w:fill="FFFFFF"/>
            <w:vAlign w:val="center"/>
          </w:tcPr>
          <w:p w14:paraId="7FA6331A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364" w:type="pct"/>
            <w:shd w:val="clear" w:color="auto" w:fill="FFFFFF"/>
            <w:vAlign w:val="center"/>
          </w:tcPr>
          <w:p w14:paraId="26036B9A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Nysa Łużycka</w:t>
            </w:r>
          </w:p>
        </w:tc>
        <w:tc>
          <w:tcPr>
            <w:tcW w:w="2031" w:type="pct"/>
            <w:shd w:val="clear" w:color="auto" w:fill="FFFFFF"/>
            <w:vAlign w:val="center"/>
          </w:tcPr>
          <w:p w14:paraId="6C43AFDC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Porajów</w:t>
            </w:r>
          </w:p>
        </w:tc>
        <w:tc>
          <w:tcPr>
            <w:tcW w:w="1278" w:type="pct"/>
            <w:shd w:val="clear" w:color="auto" w:fill="FFFFFF"/>
            <w:vAlign w:val="center"/>
          </w:tcPr>
          <w:p w14:paraId="7BBE7E9C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12,1</w:t>
            </w:r>
          </w:p>
        </w:tc>
      </w:tr>
      <w:tr w:rsidR="00965205" w:rsidRPr="00C40A55" w14:paraId="16301BF3" w14:textId="77777777" w:rsidTr="00E31DA8">
        <w:trPr>
          <w:trHeight w:val="494"/>
        </w:trPr>
        <w:tc>
          <w:tcPr>
            <w:tcW w:w="327" w:type="pct"/>
            <w:vMerge/>
            <w:shd w:val="clear" w:color="auto" w:fill="FFFFFF"/>
            <w:vAlign w:val="center"/>
          </w:tcPr>
          <w:p w14:paraId="28175556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4" w:type="pct"/>
            <w:shd w:val="clear" w:color="auto" w:fill="FFFFFF"/>
            <w:vAlign w:val="center"/>
          </w:tcPr>
          <w:p w14:paraId="2231813C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Nysa Łużycka</w:t>
            </w:r>
          </w:p>
        </w:tc>
        <w:tc>
          <w:tcPr>
            <w:tcW w:w="2031" w:type="pct"/>
            <w:shd w:val="clear" w:color="auto" w:fill="FFFFFF"/>
            <w:vAlign w:val="center"/>
          </w:tcPr>
          <w:p w14:paraId="6037AF17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Hrádek</w:t>
            </w:r>
          </w:p>
        </w:tc>
        <w:tc>
          <w:tcPr>
            <w:tcW w:w="1278" w:type="pct"/>
            <w:shd w:val="clear" w:color="auto" w:fill="FFFFFF"/>
            <w:vAlign w:val="center"/>
          </w:tcPr>
          <w:p w14:paraId="5344EC75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11,0</w:t>
            </w:r>
          </w:p>
        </w:tc>
      </w:tr>
      <w:tr w:rsidR="00965205" w:rsidRPr="00C40A55" w14:paraId="704D7A0B" w14:textId="77777777" w:rsidTr="00E31DA8">
        <w:trPr>
          <w:trHeight w:val="523"/>
        </w:trPr>
        <w:tc>
          <w:tcPr>
            <w:tcW w:w="327" w:type="pct"/>
            <w:vMerge w:val="restart"/>
            <w:shd w:val="clear" w:color="auto" w:fill="FFFFFF"/>
            <w:vAlign w:val="center"/>
          </w:tcPr>
          <w:p w14:paraId="4EACEBC7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364" w:type="pct"/>
            <w:shd w:val="clear" w:color="auto" w:fill="FFFFFF"/>
            <w:vAlign w:val="center"/>
          </w:tcPr>
          <w:p w14:paraId="5ADE1B77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Witka</w:t>
            </w:r>
          </w:p>
        </w:tc>
        <w:tc>
          <w:tcPr>
            <w:tcW w:w="2031" w:type="pct"/>
            <w:shd w:val="clear" w:color="auto" w:fill="FFFFFF"/>
            <w:vAlign w:val="center"/>
          </w:tcPr>
          <w:p w14:paraId="5C661E0A" w14:textId="39EF8659" w:rsidR="004A4B9B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Zawidów (Cernousy)</w:t>
            </w:r>
          </w:p>
          <w:p w14:paraId="15D08CD5" w14:textId="47ECA441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Ostróżno</w:t>
            </w:r>
          </w:p>
        </w:tc>
        <w:tc>
          <w:tcPr>
            <w:tcW w:w="1278" w:type="pct"/>
            <w:shd w:val="clear" w:color="auto" w:fill="FFFFFF"/>
            <w:vAlign w:val="center"/>
          </w:tcPr>
          <w:p w14:paraId="7CB790BB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9,40</w:t>
            </w:r>
          </w:p>
          <w:p w14:paraId="29384F78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9,10</w:t>
            </w:r>
          </w:p>
        </w:tc>
      </w:tr>
      <w:tr w:rsidR="00965205" w:rsidRPr="00C40A55" w14:paraId="69AD4599" w14:textId="77777777" w:rsidTr="00E31DA8">
        <w:trPr>
          <w:trHeight w:val="336"/>
        </w:trPr>
        <w:tc>
          <w:tcPr>
            <w:tcW w:w="327" w:type="pct"/>
            <w:vMerge/>
            <w:shd w:val="clear" w:color="auto" w:fill="FFFFFF"/>
            <w:vAlign w:val="center"/>
          </w:tcPr>
          <w:p w14:paraId="674FF4D3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4" w:type="pct"/>
            <w:shd w:val="clear" w:color="auto" w:fill="FFFFFF"/>
            <w:vAlign w:val="center"/>
          </w:tcPr>
          <w:p w14:paraId="0170342C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Witka</w:t>
            </w:r>
          </w:p>
        </w:tc>
        <w:tc>
          <w:tcPr>
            <w:tcW w:w="2031" w:type="pct"/>
            <w:shd w:val="clear" w:color="auto" w:fill="FFFFFF"/>
            <w:vAlign w:val="center"/>
          </w:tcPr>
          <w:p w14:paraId="488E3694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Předlánce</w:t>
            </w:r>
          </w:p>
        </w:tc>
        <w:tc>
          <w:tcPr>
            <w:tcW w:w="1278" w:type="pct"/>
            <w:shd w:val="clear" w:color="auto" w:fill="FFFFFF"/>
            <w:vAlign w:val="center"/>
          </w:tcPr>
          <w:p w14:paraId="12D0A742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7,55</w:t>
            </w:r>
          </w:p>
        </w:tc>
      </w:tr>
      <w:tr w:rsidR="00965205" w:rsidRPr="00C40A55" w14:paraId="6F2EA477" w14:textId="77777777" w:rsidTr="00E31DA8">
        <w:trPr>
          <w:trHeight w:val="523"/>
        </w:trPr>
        <w:tc>
          <w:tcPr>
            <w:tcW w:w="327" w:type="pct"/>
            <w:vMerge w:val="restart"/>
            <w:shd w:val="clear" w:color="auto" w:fill="FFFFFF"/>
            <w:vAlign w:val="center"/>
          </w:tcPr>
          <w:p w14:paraId="3753E862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364" w:type="pct"/>
            <w:shd w:val="clear" w:color="auto" w:fill="FFFFFF"/>
            <w:vAlign w:val="center"/>
          </w:tcPr>
          <w:p w14:paraId="2906BD5D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Ścinawka</w:t>
            </w:r>
          </w:p>
        </w:tc>
        <w:tc>
          <w:tcPr>
            <w:tcW w:w="2031" w:type="pct"/>
            <w:shd w:val="clear" w:color="auto" w:fill="FFFFFF"/>
            <w:vAlign w:val="center"/>
          </w:tcPr>
          <w:p w14:paraId="029B5063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Tłumaczów</w:t>
            </w:r>
          </w:p>
        </w:tc>
        <w:tc>
          <w:tcPr>
            <w:tcW w:w="1278" w:type="pct"/>
            <w:shd w:val="clear" w:color="auto" w:fill="FFFFFF"/>
            <w:vAlign w:val="center"/>
          </w:tcPr>
          <w:p w14:paraId="1B6790E7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5,11</w:t>
            </w:r>
          </w:p>
        </w:tc>
      </w:tr>
      <w:tr w:rsidR="00965205" w:rsidRPr="00C40A55" w14:paraId="61D59366" w14:textId="77777777" w:rsidTr="00E31DA8">
        <w:trPr>
          <w:trHeight w:val="528"/>
        </w:trPr>
        <w:tc>
          <w:tcPr>
            <w:tcW w:w="327" w:type="pct"/>
            <w:vMerge/>
            <w:shd w:val="clear" w:color="auto" w:fill="FFFFFF"/>
            <w:vAlign w:val="center"/>
          </w:tcPr>
          <w:p w14:paraId="6B686310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4" w:type="pct"/>
            <w:shd w:val="clear" w:color="auto" w:fill="FFFFFF"/>
            <w:vAlign w:val="center"/>
          </w:tcPr>
          <w:p w14:paraId="1EAD4424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Ścinawka</w:t>
            </w:r>
          </w:p>
        </w:tc>
        <w:tc>
          <w:tcPr>
            <w:tcW w:w="2031" w:type="pct"/>
            <w:shd w:val="clear" w:color="auto" w:fill="FFFFFF"/>
            <w:vAlign w:val="center"/>
          </w:tcPr>
          <w:p w14:paraId="781BDF22" w14:textId="77777777" w:rsidR="00965205" w:rsidRPr="00C40A55" w:rsidRDefault="00965205" w:rsidP="00E31DA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Otovice</w:t>
            </w:r>
          </w:p>
        </w:tc>
        <w:tc>
          <w:tcPr>
            <w:tcW w:w="1278" w:type="pct"/>
            <w:shd w:val="clear" w:color="auto" w:fill="FFFFFF"/>
            <w:vAlign w:val="center"/>
          </w:tcPr>
          <w:p w14:paraId="604C152F" w14:textId="77777777" w:rsidR="00965205" w:rsidRPr="00C40A55" w:rsidRDefault="00965205" w:rsidP="00E31DA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4,32</w:t>
            </w:r>
          </w:p>
        </w:tc>
      </w:tr>
    </w:tbl>
    <w:p w14:paraId="2C25C7EF" w14:textId="1623D8CA" w:rsidR="00DB7AA2" w:rsidRPr="00C40A55" w:rsidRDefault="00DB7AA2" w:rsidP="00DB7AA2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406EFB" w14:textId="4195C0CB" w:rsidR="00DB7AA2" w:rsidRPr="00C40A55" w:rsidRDefault="00DB7AA2" w:rsidP="00DB7AA2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12165F" w14:textId="77777777" w:rsidR="00813704" w:rsidRPr="00C40A55" w:rsidRDefault="00813704" w:rsidP="00DB7AA2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C1BCA6" w14:textId="15CB822A" w:rsidR="00DB7AA2" w:rsidRPr="00C40A55" w:rsidRDefault="00F56E7D" w:rsidP="0081370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cs-CZ" w:eastAsia="cs-CZ"/>
        </w:rPr>
      </w:pPr>
      <w:r w:rsidRPr="00C40A55">
        <w:rPr>
          <w:rFonts w:ascii="Times New Roman" w:eastAsia="Times New Roman" w:hAnsi="Times New Roman" w:cs="Times New Roman"/>
          <w:b/>
          <w:bCs/>
          <w:color w:val="000000"/>
          <w:lang w:eastAsia="cs-CZ"/>
        </w:rPr>
        <w:t>Ocena substancji priorytetowych</w:t>
      </w:r>
    </w:p>
    <w:p w14:paraId="3B4D5488" w14:textId="77777777" w:rsidR="00813704" w:rsidRPr="00C40A55" w:rsidRDefault="00813704" w:rsidP="00813704">
      <w:pPr>
        <w:spacing w:after="0" w:line="276" w:lineRule="auto"/>
        <w:jc w:val="center"/>
        <w:rPr>
          <w:rFonts w:ascii="Times New Roman" w:eastAsia="Times New Roman" w:hAnsi="Times New Roman" w:cs="Times New Roman"/>
          <w:lang w:val="cs-CZ" w:eastAsia="pl-PL"/>
        </w:rPr>
      </w:pPr>
    </w:p>
    <w:p w14:paraId="2C6EFA62" w14:textId="57A6DA2D" w:rsidR="00DB7AA2" w:rsidRPr="00C40A55" w:rsidRDefault="00F56E7D" w:rsidP="004D5A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val="cs-CZ" w:eastAsia="pl-PL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Ocena substancji priorytetowych zostanie przeprowadzona zgodnie z przepisami dyrektywy Parlamentu Europejskiego i Rady 2013/39/UE z dnia 12 sierpnia 2013 r. (z</w:t>
      </w:r>
      <w:r w:rsidR="004D5AB0" w:rsidRPr="00C40A55">
        <w:rPr>
          <w:rFonts w:ascii="Times New Roman" w:eastAsia="Times New Roman" w:hAnsi="Times New Roman" w:cs="Times New Roman"/>
          <w:color w:val="000000"/>
          <w:lang w:eastAsia="cs-CZ"/>
        </w:rPr>
        <w:t> 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późniejszymi zmianami). Średnie lub maksymalne dopuszczalne stężenie zostanie porównane z normą jakości środowiska określoną w tabeli E załącznika 4 do Zasad współpracy i zostanie słownie ocenione jako spełniające/</w:t>
      </w:r>
      <w:r w:rsidR="004D5AB0" w:rsidRPr="00C40A55">
        <w:rPr>
          <w:rFonts w:ascii="Times New Roman" w:eastAsia="Times New Roman" w:hAnsi="Times New Roman" w:cs="Times New Roman"/>
          <w:color w:val="000000"/>
          <w:lang w:eastAsia="cs-CZ"/>
        </w:rPr>
        <w:t>niespełniające</w:t>
      </w: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 xml:space="preserve"> tej normy jakości środowiska.</w:t>
      </w:r>
    </w:p>
    <w:p w14:paraId="0F033E6B" w14:textId="762BDB3A" w:rsidR="00DB7AA2" w:rsidRPr="00C40A55" w:rsidRDefault="00F56E7D" w:rsidP="004D5AB0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00000"/>
          <w:lang w:val="cs-CZ" w:eastAsia="cs-CZ"/>
        </w:rPr>
      </w:pPr>
      <w:r w:rsidRPr="00C40A55">
        <w:rPr>
          <w:rFonts w:ascii="Times New Roman" w:eastAsia="Times New Roman" w:hAnsi="Times New Roman" w:cs="Times New Roman"/>
          <w:color w:val="000000"/>
          <w:lang w:eastAsia="cs-CZ"/>
        </w:rPr>
        <w:t>Wskaźnik rtęci w jednostronnie monitorowanym przekroju Bohumínská Stružka - ujście zostanie oceniony zgodnie z obowiązującą czeską normą "Klasyfikacja jakości wód powierzchniowych (CSN757221)".</w:t>
      </w:r>
    </w:p>
    <w:p w14:paraId="0B8625E7" w14:textId="20B0C5FE" w:rsidR="00813704" w:rsidRPr="00C40A55" w:rsidRDefault="00F56E7D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cs-CZ" w:eastAsia="cs-CZ"/>
        </w:rPr>
      </w:pPr>
      <w:r w:rsidRPr="00C40A55">
        <w:rPr>
          <w:rFonts w:ascii="Times New Roman" w:eastAsia="Times New Roman" w:hAnsi="Times New Roman" w:cs="Times New Roman"/>
          <w:color w:val="000000"/>
          <w:sz w:val="24"/>
          <w:szCs w:val="24"/>
          <w:lang w:val="cs-CZ" w:eastAsia="cs-CZ"/>
        </w:rPr>
        <w:br w:type="page"/>
      </w:r>
    </w:p>
    <w:p w14:paraId="2358F6EA" w14:textId="2D8E7280" w:rsidR="00DB7AA2" w:rsidRPr="00C40A55" w:rsidRDefault="00F56E7D" w:rsidP="00965205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C40A55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Załącznik nr 4</w:t>
      </w:r>
    </w:p>
    <w:p w14:paraId="0C1F0BC5" w14:textId="77777777" w:rsidR="005C3C74" w:rsidRPr="00C40A55" w:rsidRDefault="005C3C74" w:rsidP="005C3C74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C40A55">
        <w:rPr>
          <w:rFonts w:ascii="Times New Roman" w:eastAsia="Times New Roman" w:hAnsi="Times New Roman" w:cs="Times New Roman"/>
          <w:b/>
          <w:bCs/>
          <w:sz w:val="20"/>
          <w:szCs w:val="20"/>
        </w:rPr>
        <w:t>do Zasad współpracy polsko-czeskiej grupy</w:t>
      </w:r>
    </w:p>
    <w:p w14:paraId="1E134516" w14:textId="77777777" w:rsidR="005C3C74" w:rsidRPr="00C40A55" w:rsidRDefault="005C3C74" w:rsidP="005C3C74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C40A55">
        <w:rPr>
          <w:rFonts w:ascii="Times New Roman" w:eastAsia="Times New Roman" w:hAnsi="Times New Roman" w:cs="Times New Roman"/>
          <w:b/>
          <w:bCs/>
          <w:sz w:val="20"/>
          <w:szCs w:val="20"/>
        </w:rPr>
        <w:t>roboczej OPZ "Ochrona przed zanieczyszczeniem”</w:t>
      </w:r>
    </w:p>
    <w:p w14:paraId="691FD33A" w14:textId="77777777" w:rsidR="00813704" w:rsidRPr="00C40A55" w:rsidRDefault="00813704" w:rsidP="0096520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B24EAE2" w14:textId="04F74B04" w:rsidR="00DB7AA2" w:rsidRPr="00C40A55" w:rsidRDefault="00F56E7D" w:rsidP="00813704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0A55">
        <w:rPr>
          <w:rFonts w:ascii="Times New Roman" w:eastAsia="Times New Roman" w:hAnsi="Times New Roman" w:cs="Times New Roman"/>
          <w:b/>
          <w:bCs/>
          <w:sz w:val="28"/>
          <w:szCs w:val="28"/>
        </w:rPr>
        <w:t>Normy jakości wód stosowane do oceny wód granicznych</w:t>
      </w:r>
    </w:p>
    <w:p w14:paraId="06945E9D" w14:textId="2ABE6B7C" w:rsidR="00DB7AA2" w:rsidRPr="00C40A55" w:rsidRDefault="00F56E7D" w:rsidP="0096520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40A55">
        <w:rPr>
          <w:rFonts w:ascii="Times New Roman" w:eastAsia="Times New Roman" w:hAnsi="Times New Roman" w:cs="Times New Roman"/>
          <w:b/>
          <w:bCs/>
          <w:sz w:val="20"/>
          <w:szCs w:val="20"/>
        </w:rPr>
        <w:t>A. Obecné fyzikální a chemické ukazatele / Wskaźniki ogólne fizyczne i nieorganiczne</w:t>
      </w:r>
    </w:p>
    <w:tbl>
      <w:tblPr>
        <w:tblW w:w="5081" w:type="pct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389"/>
        <w:gridCol w:w="1733"/>
        <w:gridCol w:w="1985"/>
        <w:gridCol w:w="709"/>
        <w:gridCol w:w="879"/>
        <w:gridCol w:w="879"/>
        <w:gridCol w:w="879"/>
        <w:gridCol w:w="879"/>
        <w:gridCol w:w="877"/>
      </w:tblGrid>
      <w:tr w:rsidR="00930693" w:rsidRPr="00C40A55" w14:paraId="403FDC0D" w14:textId="77777777" w:rsidTr="00E31DA8">
        <w:trPr>
          <w:trHeight w:val="240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690B28E7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L.p.</w:t>
            </w:r>
          </w:p>
        </w:tc>
        <w:tc>
          <w:tcPr>
            <w:tcW w:w="240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6C2D2239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Ukazatele / Wskaźniki</w:t>
            </w:r>
          </w:p>
        </w:tc>
        <w:tc>
          <w:tcPr>
            <w:tcW w:w="238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A86CBA9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Třídy jakosti vod / Klasy jakości wód</w:t>
            </w:r>
          </w:p>
        </w:tc>
      </w:tr>
      <w:tr w:rsidR="00E31DA8" w:rsidRPr="00C40A55" w14:paraId="52BA9E7F" w14:textId="77777777" w:rsidTr="00E31DA8">
        <w:trPr>
          <w:trHeight w:val="211"/>
        </w:trPr>
        <w:tc>
          <w:tcPr>
            <w:tcW w:w="212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6CE9A767" w14:textId="77777777" w:rsidR="00DB7AA2" w:rsidRPr="00C40A55" w:rsidRDefault="00DB7AA2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404" w:type="pct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5AC7FB99" w14:textId="77777777" w:rsidR="00DB7AA2" w:rsidRPr="00C40A55" w:rsidRDefault="00DB7AA2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450C0D0D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7A5D77D9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6ECBAEA6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16F80906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IV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47EE241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V</w:t>
            </w:r>
          </w:p>
        </w:tc>
      </w:tr>
      <w:tr w:rsidR="00E31DA8" w:rsidRPr="00C40A55" w14:paraId="7B0EA2C0" w14:textId="77777777" w:rsidTr="00E31DA8">
        <w:trPr>
          <w:trHeight w:val="21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C5F4188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D61DE9D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teplota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A60F91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temperatura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B0020D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pl-PL"/>
              </w:rPr>
              <w:t>o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4B4E12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20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FEB57E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23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85A260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25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B3239B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30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769A5E9" w14:textId="1ABF2DE1" w:rsidR="00DB7AA2" w:rsidRPr="00C40A55" w:rsidRDefault="004D5AB0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≥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30</w:t>
            </w:r>
          </w:p>
        </w:tc>
      </w:tr>
      <w:tr w:rsidR="00E31DA8" w:rsidRPr="00C40A55" w14:paraId="2F8FF03D" w14:textId="77777777" w:rsidTr="00E31DA8">
        <w:trPr>
          <w:trHeight w:val="211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86880C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31E2E91" w14:textId="2D022EC6" w:rsidR="00DB7AA2" w:rsidRPr="00C40A55" w:rsidRDefault="00D04055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pH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7ED5467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odczyn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CBEAA2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pH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F4FBF4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6,5 - 8,0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7294D5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6,5 - 8,5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C49D5F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6,5 - 8,5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BD6383A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6,0-8,5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437E66E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6,0 oraz &gt; 8,5</w:t>
            </w:r>
          </w:p>
        </w:tc>
      </w:tr>
      <w:tr w:rsidR="00E31DA8" w:rsidRPr="00C40A55" w14:paraId="2BE707F1" w14:textId="77777777" w:rsidTr="004A4B9B">
        <w:trPr>
          <w:trHeight w:val="21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002BAD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1986BAE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rozpuštěný kyslík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67D844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tlen rozpuszczony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DE06B51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81C842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&gt; 8,5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C70E8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&gt; 7,5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B44176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&gt; 6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4002CB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&gt; 4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B7DEB1" w14:textId="596A8045" w:rsidR="00DB7AA2" w:rsidRPr="00C40A55" w:rsidRDefault="001F1B68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≤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4</w:t>
            </w:r>
          </w:p>
        </w:tc>
      </w:tr>
      <w:tr w:rsidR="00E31DA8" w:rsidRPr="00C40A55" w14:paraId="376953C0" w14:textId="77777777" w:rsidTr="00E31DA8">
        <w:trPr>
          <w:trHeight w:val="211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92861A5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D36E083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nasycení kyslíkem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D4FFF2C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nasycenie tlenem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FCFEF2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CD5A16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&gt; 90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05E579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&gt; 75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E410084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&gt; 60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BD8C37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&gt; 40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8B8DFAB" w14:textId="179A12F9" w:rsidR="00DB7AA2" w:rsidRPr="00C40A55" w:rsidRDefault="004D5AB0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≤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40</w:t>
            </w:r>
          </w:p>
        </w:tc>
      </w:tr>
      <w:tr w:rsidR="00E31DA8" w:rsidRPr="00C40A55" w14:paraId="0F902490" w14:textId="77777777" w:rsidTr="00E31DA8">
        <w:trPr>
          <w:trHeight w:val="21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BEC22B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2BC828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vodivost, elektrolytická konduktivíta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5AA8CE2" w14:textId="05A8A2FE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przewodnictwo elektryczne właściwe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AEB9896" w14:textId="6686D1A7" w:rsidR="00DB7AA2" w:rsidRPr="00C40A55" w:rsidRDefault="004D5AB0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S/cm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498E33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400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FE14751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700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79D3F5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&lt;1100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C51634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1300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FF18536" w14:textId="1ED072D5" w:rsidR="00DB7AA2" w:rsidRPr="00C40A55" w:rsidRDefault="004D5AB0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≥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1300</w:t>
            </w:r>
          </w:p>
        </w:tc>
      </w:tr>
      <w:tr w:rsidR="00E31DA8" w:rsidRPr="00C40A55" w14:paraId="2D53E260" w14:textId="77777777" w:rsidTr="00E31DA8">
        <w:trPr>
          <w:trHeight w:val="211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D767C7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B5115E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rozpuštěné látky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667EEFA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substancje rozpuszczone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C47F6FE" w14:textId="47C9346D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</w:t>
            </w:r>
            <w:r w:rsidR="00D04055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FDB1FA7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300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5A180B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500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F5937B0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800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CBA1EAC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1000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B378E1E" w14:textId="4236B6DB" w:rsidR="00DB7AA2" w:rsidRPr="00C40A55" w:rsidRDefault="004D5AB0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≥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1000</w:t>
            </w:r>
          </w:p>
        </w:tc>
      </w:tr>
      <w:tr w:rsidR="00E31DA8" w:rsidRPr="00C40A55" w14:paraId="36CD3F6B" w14:textId="77777777" w:rsidTr="00E31DA8">
        <w:trPr>
          <w:trHeight w:val="21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204FAD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9D4850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nerozpuštěné látky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CEBDBD6" w14:textId="31202679" w:rsidR="00DB7AA2" w:rsidRPr="00C40A55" w:rsidRDefault="00A1223B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zawiesina ogólna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5D721E" w14:textId="0CED12EA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</w:t>
            </w:r>
            <w:r w:rsidR="00D04055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EFA66B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15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AD00F38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25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AE4A199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50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1844A5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100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E0E5484" w14:textId="19C318A5" w:rsidR="00DB7AA2" w:rsidRPr="00C40A55" w:rsidRDefault="004D5AB0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≥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100</w:t>
            </w:r>
          </w:p>
        </w:tc>
      </w:tr>
      <w:tr w:rsidR="00E31DA8" w:rsidRPr="00C40A55" w14:paraId="28450832" w14:textId="77777777" w:rsidTr="00E31DA8">
        <w:trPr>
          <w:trHeight w:val="211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06C243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D576EBD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tvrdost celková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E401FCE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twardość ogólna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10DED3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pl-PL"/>
              </w:rPr>
              <w:t>o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413F50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15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26A0E0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20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F68FC9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30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AF6E6C3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40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CFFB163" w14:textId="27AA564C" w:rsidR="00DB7AA2" w:rsidRPr="00C40A55" w:rsidRDefault="004D5AB0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≥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40</w:t>
            </w:r>
          </w:p>
        </w:tc>
      </w:tr>
      <w:tr w:rsidR="00E31DA8" w:rsidRPr="00C40A55" w14:paraId="0660B2A0" w14:textId="77777777" w:rsidTr="00E31DA8">
        <w:trPr>
          <w:trHeight w:val="211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5828EC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026DFDF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chloridy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E67247B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chlorki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5EF84EA" w14:textId="7DFB6243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</w:t>
            </w:r>
            <w:r w:rsidR="00D04055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0CABB08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50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C75FA53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150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5110285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200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9A5CEB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300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4EB6A7A" w14:textId="2C33F3F3" w:rsidR="00DB7AA2" w:rsidRPr="00C40A55" w:rsidRDefault="004D5AB0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≥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300</w:t>
            </w:r>
          </w:p>
        </w:tc>
      </w:tr>
      <w:tr w:rsidR="00E31DA8" w:rsidRPr="00C40A55" w14:paraId="0B27A4D8" w14:textId="77777777" w:rsidTr="00E31DA8">
        <w:trPr>
          <w:trHeight w:val="21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6B1519B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B948AF7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sírany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A3EF89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siarczany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293163" w14:textId="2FF59A94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</w:t>
            </w:r>
            <w:r w:rsidR="00D04055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F587BE7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50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963E10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150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ED7A9ED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200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9ED930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300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2FEFC74" w14:textId="5319268D" w:rsidR="00DB7AA2" w:rsidRPr="00C40A55" w:rsidRDefault="004D5AB0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≥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300</w:t>
            </w:r>
          </w:p>
        </w:tc>
      </w:tr>
      <w:tr w:rsidR="00E31DA8" w:rsidRPr="00C40A55" w14:paraId="45DB9589" w14:textId="77777777" w:rsidTr="00E31DA8">
        <w:trPr>
          <w:trHeight w:val="211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EB9684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F9F839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amoniakální dusík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2B468B8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azot amonowy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E222EC1" w14:textId="7C37EB84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</w:t>
            </w:r>
            <w:r w:rsidR="00D04055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687D7E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0,2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A2FEA0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0,4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F0F0E46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0,8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A37E94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1,6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E3BC404" w14:textId="179B3DD8" w:rsidR="00DB7AA2" w:rsidRPr="00C40A55" w:rsidRDefault="004D5AB0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≥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1,6</w:t>
            </w:r>
          </w:p>
        </w:tc>
      </w:tr>
      <w:tr w:rsidR="00E31DA8" w:rsidRPr="00C40A55" w14:paraId="31268A83" w14:textId="77777777" w:rsidTr="00E31DA8">
        <w:trPr>
          <w:trHeight w:val="21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4047892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923DAD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dusičnanový dusík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54D803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azot azotanowy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EFAD79" w14:textId="0853194C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</w:t>
            </w:r>
            <w:r w:rsidR="00D04055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DEF89D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1F46A0A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894D4A8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0AEEE66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10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1FC8FD3" w14:textId="2B22DD91" w:rsidR="00DB7AA2" w:rsidRPr="00C40A55" w:rsidRDefault="004D5AB0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≥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10</w:t>
            </w:r>
          </w:p>
        </w:tc>
      </w:tr>
      <w:tr w:rsidR="00E31DA8" w:rsidRPr="00C40A55" w14:paraId="23D4BFD8" w14:textId="77777777" w:rsidTr="0013307C">
        <w:trPr>
          <w:trHeight w:val="211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E9C9CE8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3C378A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dusitanový dusík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62B7902" w14:textId="76FE3346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azot </w:t>
            </w:r>
            <w:r w:rsidR="00D04055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azotynowy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CCE0D54" w14:textId="11020D40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</w:t>
            </w:r>
            <w:r w:rsidR="00D04055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7E233EC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0,009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EEA77E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0,02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9C86E9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0,03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F04F1E" w14:textId="05FB127A" w:rsidR="00DB7AA2" w:rsidRPr="00C40A55" w:rsidRDefault="001F1B68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&lt; 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0,15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6180DC3" w14:textId="180B6857" w:rsidR="00DB7AA2" w:rsidRPr="00C40A55" w:rsidRDefault="004D5AB0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≥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0,15</w:t>
            </w:r>
          </w:p>
        </w:tc>
      </w:tr>
      <w:tr w:rsidR="00E31DA8" w:rsidRPr="00C40A55" w14:paraId="2BE0103C" w14:textId="77777777" w:rsidTr="00E31DA8">
        <w:trPr>
          <w:trHeight w:val="21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D07851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A493C4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fosforečnany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7C5A5F6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fosforany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47CAD75" w14:textId="16C31DCE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</w:t>
            </w:r>
            <w:r w:rsidR="00D04055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1701E0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0,025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AFB3D6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0,07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692DAD4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0,15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AE1D8CC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0, 4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546E586" w14:textId="7D330E3A" w:rsidR="00DB7AA2" w:rsidRPr="00C40A55" w:rsidRDefault="004D5AB0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≥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0,4</w:t>
            </w:r>
          </w:p>
        </w:tc>
      </w:tr>
      <w:tr w:rsidR="00E31DA8" w:rsidRPr="00C40A55" w14:paraId="1B0CB863" w14:textId="77777777" w:rsidTr="00E31DA8">
        <w:trPr>
          <w:trHeight w:val="211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DDB9D5F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D311B9A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celkový fosfor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FCD7D5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fosfor ogólny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1F0EE02" w14:textId="565B1B3C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</w:t>
            </w:r>
            <w:r w:rsidR="00D04055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E77E39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0,05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E20CBA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0,15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C0F1901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0,3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A3F289C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0,6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405BC10" w14:textId="00F0D4DD" w:rsidR="00DB7AA2" w:rsidRPr="00C40A55" w:rsidRDefault="004D5AB0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≥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0,6</w:t>
            </w:r>
          </w:p>
        </w:tc>
      </w:tr>
      <w:tr w:rsidR="00E31DA8" w:rsidRPr="00C40A55" w14:paraId="0F536828" w14:textId="77777777" w:rsidTr="00E31DA8">
        <w:trPr>
          <w:trHeight w:val="22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20A6A22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4966EB8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celkový dusík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A2276EA" w14:textId="77777777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azot ogólny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738C268" w14:textId="0030BDDE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</w:t>
            </w:r>
            <w:r w:rsidR="00D04055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786C9A0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8F1E1A9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6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26ABE67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10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4173D20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14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0C7F2" w14:textId="6A6E61FF" w:rsidR="00DB7AA2" w:rsidRPr="00C40A55" w:rsidRDefault="004D5AB0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≥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14</w:t>
            </w:r>
          </w:p>
        </w:tc>
      </w:tr>
    </w:tbl>
    <w:p w14:paraId="1CD958FF" w14:textId="220D85BB" w:rsidR="00DB7AA2" w:rsidRPr="00C40A55" w:rsidRDefault="00F56E7D" w:rsidP="00965205">
      <w:pPr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C40A55">
        <w:rPr>
          <w:rFonts w:ascii="Times New Roman" w:eastAsia="Times New Roman" w:hAnsi="Times New Roman" w:cs="Times New Roman"/>
          <w:b/>
          <w:bCs/>
          <w:sz w:val="20"/>
          <w:szCs w:val="20"/>
        </w:rPr>
        <w:t>B. Obecné ukazatele organického znečištění / Wskaźniki ogólne zanieczyszczeń organicznych</w:t>
      </w:r>
    </w:p>
    <w:tbl>
      <w:tblPr>
        <w:tblW w:w="5000" w:type="pct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381"/>
        <w:gridCol w:w="883"/>
        <w:gridCol w:w="3395"/>
        <w:gridCol w:w="464"/>
        <w:gridCol w:w="788"/>
        <w:gridCol w:w="788"/>
        <w:gridCol w:w="788"/>
        <w:gridCol w:w="788"/>
        <w:gridCol w:w="787"/>
      </w:tblGrid>
      <w:tr w:rsidR="00930693" w:rsidRPr="00C40A55" w14:paraId="5A4A54CE" w14:textId="77777777" w:rsidTr="00E31DA8">
        <w:trPr>
          <w:trHeight w:val="230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</w:tcPr>
          <w:p w14:paraId="083B9CD3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L.p.</w:t>
            </w:r>
          </w:p>
        </w:tc>
        <w:tc>
          <w:tcPr>
            <w:tcW w:w="26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</w:tcPr>
          <w:p w14:paraId="71FBF283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Ukazatele / Wskaźniki</w:t>
            </w:r>
          </w:p>
        </w:tc>
        <w:tc>
          <w:tcPr>
            <w:tcW w:w="217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</w:tcPr>
          <w:p w14:paraId="69937DB4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Třídy jakosti vod / Klasy jakości wód</w:t>
            </w:r>
          </w:p>
        </w:tc>
      </w:tr>
      <w:tr w:rsidR="00930693" w:rsidRPr="00C40A55" w14:paraId="6E7C1E1F" w14:textId="77777777" w:rsidTr="00E31DA8">
        <w:trPr>
          <w:trHeight w:val="211"/>
        </w:trPr>
        <w:tc>
          <w:tcPr>
            <w:tcW w:w="210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</w:tcPr>
          <w:p w14:paraId="70A44AAF" w14:textId="77777777" w:rsidR="00DB7AA2" w:rsidRPr="00C40A55" w:rsidRDefault="00DB7AA2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616" w:type="pct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</w:tcPr>
          <w:p w14:paraId="69D21255" w14:textId="77777777" w:rsidR="00DB7AA2" w:rsidRPr="00C40A55" w:rsidRDefault="00DB7AA2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3B164356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602208C4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14B72ED5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528C5CDF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IV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DD3B964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V</w:t>
            </w:r>
          </w:p>
        </w:tc>
      </w:tr>
      <w:tr w:rsidR="00930693" w:rsidRPr="00C40A55" w14:paraId="7D4E609A" w14:textId="77777777" w:rsidTr="00E31DA8">
        <w:trPr>
          <w:trHeight w:val="211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A9C8193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123B70C" w14:textId="369FD55C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CHSK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pl-PL"/>
              </w:rPr>
              <w:t>Mn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2322E9C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ChZT-Mn (nadmanganianowe)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A32FC0D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0FC4F58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A7CCDE3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F38563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14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50ED9F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0B8D19D" w14:textId="01AAC42C" w:rsidR="00DB7AA2" w:rsidRPr="00C40A55" w:rsidRDefault="004D5AB0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≥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20</w:t>
            </w:r>
          </w:p>
        </w:tc>
      </w:tr>
      <w:tr w:rsidR="00930693" w:rsidRPr="00C40A55" w14:paraId="689D339D" w14:textId="77777777" w:rsidTr="00E31DA8">
        <w:trPr>
          <w:trHeight w:val="211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DCFBCA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2B45A5D" w14:textId="1C1E8A8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CHSK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pl-PL"/>
              </w:rPr>
              <w:t>Cr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BFB5D6D" w14:textId="4F7E622E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ChZT-Cr (dwuchromianowe)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53C0EEB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C150B8F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15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E696402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25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2E92B2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45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BE74C8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292E663" w14:textId="6A2D7902" w:rsidR="00DB7AA2" w:rsidRPr="00C40A55" w:rsidRDefault="004D5AB0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≥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60</w:t>
            </w:r>
          </w:p>
        </w:tc>
      </w:tr>
      <w:tr w:rsidR="00930693" w:rsidRPr="00C40A55" w14:paraId="797D4135" w14:textId="77777777" w:rsidTr="00E31DA8">
        <w:trPr>
          <w:trHeight w:val="216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D1EB18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D34E87D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BSK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pl-PL"/>
              </w:rPr>
              <w:t>5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1C7C520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BZT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pl-PL"/>
              </w:rPr>
              <w:t>5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E21B91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485354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B1AC90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035CB49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AC46120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15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ACEC58B" w14:textId="1C005F8C" w:rsidR="00DB7AA2" w:rsidRPr="00C40A55" w:rsidRDefault="004D5AB0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≥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15</w:t>
            </w:r>
          </w:p>
        </w:tc>
      </w:tr>
      <w:tr w:rsidR="00930693" w:rsidRPr="00C40A55" w14:paraId="15917E10" w14:textId="77777777" w:rsidTr="00E31DA8">
        <w:trPr>
          <w:trHeight w:val="23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53B74AE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4F81CBD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TOC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D735D39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ogólny węgiel organiczny (OWO)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DCC1006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88F987C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7D9B2E0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5B00F73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15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E4D5A9C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9F67B" w14:textId="18FC48E6" w:rsidR="00DB7AA2" w:rsidRPr="00C40A55" w:rsidRDefault="004D5AB0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≥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20</w:t>
            </w:r>
          </w:p>
        </w:tc>
      </w:tr>
    </w:tbl>
    <w:p w14:paraId="36F87D5D" w14:textId="5093718F" w:rsidR="00DB7AA2" w:rsidRPr="00C40A55" w:rsidRDefault="00F56E7D" w:rsidP="00965205">
      <w:pPr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40A55">
        <w:rPr>
          <w:rFonts w:ascii="Times New Roman" w:eastAsia="Times New Roman" w:hAnsi="Times New Roman" w:cs="Times New Roman"/>
          <w:b/>
          <w:bCs/>
          <w:sz w:val="20"/>
          <w:szCs w:val="20"/>
        </w:rPr>
        <w:t>C. Ukazatele anorganického a organického průmyslového znečištění / Wskaźniki zanieczyszczeń nieorganicznych i organicznych przemysłowych</w:t>
      </w:r>
    </w:p>
    <w:tbl>
      <w:tblPr>
        <w:tblW w:w="5000" w:type="pct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1707"/>
        <w:gridCol w:w="2632"/>
        <w:gridCol w:w="520"/>
        <w:gridCol w:w="866"/>
        <w:gridCol w:w="730"/>
        <w:gridCol w:w="727"/>
        <w:gridCol w:w="727"/>
        <w:gridCol w:w="729"/>
      </w:tblGrid>
      <w:tr w:rsidR="00930693" w:rsidRPr="00C40A55" w14:paraId="1265055D" w14:textId="77777777" w:rsidTr="00E31DA8">
        <w:trPr>
          <w:trHeight w:val="230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2D19E43A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L.p.</w:t>
            </w:r>
          </w:p>
        </w:tc>
        <w:tc>
          <w:tcPr>
            <w:tcW w:w="268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55555E89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Ukazatele / Wskaźniki</w:t>
            </w:r>
          </w:p>
        </w:tc>
        <w:tc>
          <w:tcPr>
            <w:tcW w:w="2085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71882F7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Třídy jakosti vod / Klasy jakości wód</w:t>
            </w:r>
          </w:p>
        </w:tc>
      </w:tr>
      <w:tr w:rsidR="004D5AB0" w:rsidRPr="00C40A55" w14:paraId="795C1BB9" w14:textId="77777777" w:rsidTr="00E31DA8">
        <w:trPr>
          <w:trHeight w:val="211"/>
        </w:trPr>
        <w:tc>
          <w:tcPr>
            <w:tcW w:w="234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488B8D23" w14:textId="77777777" w:rsidR="00DB7AA2" w:rsidRPr="00C40A55" w:rsidRDefault="00DB7AA2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</w:p>
        </w:tc>
        <w:tc>
          <w:tcPr>
            <w:tcW w:w="2681" w:type="pct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2CB25514" w14:textId="77777777" w:rsidR="00DB7AA2" w:rsidRPr="00C40A55" w:rsidRDefault="00DB7AA2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5076A02E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I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71EBDC39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II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006C7CE8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III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5D00900B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IV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A2E5F0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V</w:t>
            </w:r>
          </w:p>
        </w:tc>
      </w:tr>
      <w:tr w:rsidR="004D5AB0" w:rsidRPr="00C40A55" w14:paraId="5631B00B" w14:textId="77777777" w:rsidTr="00E31DA8">
        <w:trPr>
          <w:trHeight w:val="211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DA08C01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327EFAE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arsen*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22E6F0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arsen*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02616C" w14:textId="7D844E8D" w:rsidR="00DB7AA2" w:rsidRPr="00C40A55" w:rsidRDefault="00546BBA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μg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/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I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2605D15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&lt; 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5DF9105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CB54F8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878B02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50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DEC8831" w14:textId="772219FE" w:rsidR="00DB7AA2" w:rsidRPr="00C40A55" w:rsidRDefault="00546BBA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≥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 xml:space="preserve"> 50</w:t>
            </w:r>
          </w:p>
        </w:tc>
      </w:tr>
      <w:tr w:rsidR="00546BBA" w:rsidRPr="00C40A55" w14:paraId="1AF775C1" w14:textId="77777777" w:rsidTr="00E31DA8">
        <w:trPr>
          <w:trHeight w:val="21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B7395" w14:textId="77777777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CDEFF3" w14:textId="77777777" w:rsidR="00546BBA" w:rsidRPr="00C40A55" w:rsidRDefault="00546BBA" w:rsidP="00546BB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měď *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7B086D" w14:textId="77777777" w:rsidR="00546BBA" w:rsidRPr="00C40A55" w:rsidRDefault="00546BBA" w:rsidP="00546BB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miedź*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7FF44EC" w14:textId="0FEFC75E" w:rsidR="00546BBA" w:rsidRPr="00C40A55" w:rsidRDefault="00546BBA" w:rsidP="00546BB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μg/I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703C702" w14:textId="77777777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6F67730" w14:textId="77777777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472FA6" w14:textId="77777777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DFBCA86" w14:textId="77777777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32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F953AA3" w14:textId="6EA566B9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≥ 32</w:t>
            </w:r>
          </w:p>
        </w:tc>
      </w:tr>
      <w:tr w:rsidR="00546BBA" w:rsidRPr="00C40A55" w14:paraId="0C173E08" w14:textId="77777777" w:rsidTr="00E31DA8">
        <w:trPr>
          <w:trHeight w:val="211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26D2E61" w14:textId="77777777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98FABB" w14:textId="77777777" w:rsidR="00546BBA" w:rsidRPr="00C40A55" w:rsidRDefault="00546BBA" w:rsidP="00546BB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celkový chrom*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D7BA50" w14:textId="77777777" w:rsidR="00546BBA" w:rsidRPr="00C40A55" w:rsidRDefault="00546BBA" w:rsidP="00546BB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chrom ogólny*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3137BDD" w14:textId="7253D3BB" w:rsidR="00546BBA" w:rsidRPr="00C40A55" w:rsidRDefault="00546BBA" w:rsidP="00546BB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μg/I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8376DE" w14:textId="77777777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7741B95" w14:textId="77777777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C53038F" w14:textId="77777777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35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7BC7C63" w14:textId="77777777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70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4FCAA1F" w14:textId="17587D9F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≥ 70</w:t>
            </w:r>
          </w:p>
        </w:tc>
      </w:tr>
      <w:tr w:rsidR="00546BBA" w:rsidRPr="00C40A55" w14:paraId="61D042C4" w14:textId="77777777" w:rsidTr="00E31DA8">
        <w:trPr>
          <w:trHeight w:val="211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B3796B" w14:textId="77777777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A45E6C5" w14:textId="77777777" w:rsidR="00546BBA" w:rsidRPr="00C40A55" w:rsidRDefault="00546BBA" w:rsidP="00546BB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chrom 3+*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B2F8CC" w14:textId="77777777" w:rsidR="00546BBA" w:rsidRPr="00C40A55" w:rsidRDefault="00546BBA" w:rsidP="00546BB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chrom3+ *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AFF6CCB" w14:textId="219D7EAC" w:rsidR="00546BBA" w:rsidRPr="00C40A55" w:rsidRDefault="00546BBA" w:rsidP="00546BB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μg/I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FD9AE9" w14:textId="77777777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&lt; 20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2CBD88" w14:textId="77777777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6FB890" w14:textId="4F38A9B9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≥ 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0841F4" w14:textId="1FA8C178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≥ 20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2D71F16" w14:textId="530D98F5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≥ 20</w:t>
            </w:r>
          </w:p>
        </w:tc>
      </w:tr>
      <w:tr w:rsidR="00546BBA" w:rsidRPr="00C40A55" w14:paraId="0633DA15" w14:textId="77777777" w:rsidTr="00E31DA8">
        <w:trPr>
          <w:trHeight w:val="21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9E46C0" w14:textId="77777777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C0CFCA9" w14:textId="77777777" w:rsidR="00546BBA" w:rsidRPr="00C40A55" w:rsidRDefault="00546BBA" w:rsidP="00546BB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kobalt*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94588C1" w14:textId="77777777" w:rsidR="00546BBA" w:rsidRPr="00C40A55" w:rsidRDefault="00546BBA" w:rsidP="00546BB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kobalt*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B9C3825" w14:textId="5F55FDEB" w:rsidR="00546BBA" w:rsidRPr="00C40A55" w:rsidRDefault="00546BBA" w:rsidP="00546BB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μg/I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22A9BA" w14:textId="77777777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1,5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D60696" w14:textId="77777777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&lt; 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C75CF1" w14:textId="77777777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456916" w14:textId="77777777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12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4DD3B2D" w14:textId="7CCC4B26" w:rsidR="00546BBA" w:rsidRPr="00C40A55" w:rsidRDefault="00546BBA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≥ 12</w:t>
            </w:r>
          </w:p>
        </w:tc>
      </w:tr>
      <w:tr w:rsidR="004D5AB0" w:rsidRPr="00C40A55" w14:paraId="308D7FD4" w14:textId="77777777" w:rsidTr="00E31DA8">
        <w:trPr>
          <w:trHeight w:val="211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421BF8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379F63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Zinek*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5EA457A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cynk *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7808C1" w14:textId="3B5FED1F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mg/</w:t>
            </w:r>
            <w:r w:rsidR="00546BBA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I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2F486C4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0,02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E2DEF4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0,05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8FF0A3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0,1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0F6752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0,2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9FB80EB" w14:textId="7AC4DA29" w:rsidR="00DB7AA2" w:rsidRPr="00C40A55" w:rsidRDefault="00546BBA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≥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 xml:space="preserve"> 0,2</w:t>
            </w:r>
          </w:p>
        </w:tc>
      </w:tr>
      <w:tr w:rsidR="004D5AB0" w:rsidRPr="00C40A55" w14:paraId="7311728F" w14:textId="77777777" w:rsidTr="00E31DA8">
        <w:trPr>
          <w:trHeight w:val="211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F6DB44B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EAA77A3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kyanidy celkové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CBC929E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cyjanki ogólne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51682E" w14:textId="4A7C3282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mg/</w:t>
            </w:r>
            <w:r w:rsidR="00546BBA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I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669B5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0,005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DE1F2AF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0,02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280AAD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0,04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B2E664A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0,06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E16FDC0" w14:textId="2515EDA9" w:rsidR="00DB7AA2" w:rsidRPr="00C40A55" w:rsidRDefault="00546BBA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≥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 xml:space="preserve"> 0,06</w:t>
            </w:r>
          </w:p>
        </w:tc>
      </w:tr>
      <w:tr w:rsidR="004D5AB0" w:rsidRPr="00C40A55" w14:paraId="043B2665" w14:textId="77777777" w:rsidTr="00E31DA8">
        <w:trPr>
          <w:trHeight w:val="21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64C08C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3BAA94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fluoridy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0BC303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fluorki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451C5D" w14:textId="3AD9D7DE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mg/</w:t>
            </w:r>
            <w:r w:rsidR="00546BBA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I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5DE032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0,2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B6EB1C9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0,6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0A73AC6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A866DBC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 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22C9ACC" w14:textId="6FD8398C" w:rsidR="00DB7AA2" w:rsidRPr="00C40A55" w:rsidRDefault="00546BBA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≥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 xml:space="preserve"> 2</w:t>
            </w:r>
          </w:p>
        </w:tc>
      </w:tr>
      <w:tr w:rsidR="004D5AB0" w:rsidRPr="00C40A55" w14:paraId="391A885A" w14:textId="77777777" w:rsidTr="00E31DA8">
        <w:trPr>
          <w:trHeight w:val="21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C3C94D8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B2718BB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ropné látky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ECB764" w14:textId="7777777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substancje ropopochodne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5446219" w14:textId="45BA3AD7" w:rsidR="00DB7AA2" w:rsidRPr="00C40A55" w:rsidRDefault="00F56E7D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mg/</w:t>
            </w:r>
            <w:r w:rsidR="00546BBA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I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B745310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&lt;0,05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A381EE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&lt;0,05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BC3744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&lt;0,1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6A10131" w14:textId="77777777" w:rsidR="00DB7AA2" w:rsidRPr="00C40A55" w:rsidRDefault="00F56E7D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&lt;0,2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9B7BEAC" w14:textId="501B3E3B" w:rsidR="00DB7AA2" w:rsidRPr="00C40A55" w:rsidRDefault="00546BBA" w:rsidP="004D5A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≥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 xml:space="preserve"> 0,2</w:t>
            </w:r>
          </w:p>
        </w:tc>
      </w:tr>
      <w:tr w:rsidR="00546BBA" w:rsidRPr="00C40A55" w14:paraId="22D7577F" w14:textId="77777777" w:rsidTr="00E31DA8">
        <w:trPr>
          <w:trHeight w:val="254"/>
        </w:trPr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9EDC38E" w14:textId="77777777" w:rsidR="00546BBA" w:rsidRPr="00C40A55" w:rsidRDefault="00546BBA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</w:p>
        </w:tc>
        <w:tc>
          <w:tcPr>
            <w:tcW w:w="436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437892" w14:textId="38CC3E1A" w:rsidR="00546BBA" w:rsidRPr="00C40A55" w:rsidRDefault="00546BBA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* rozpuštěná fáze/stężenie w stanie rozpuszczonym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6E753DF8" w14:textId="77777777" w:rsidR="00546BBA" w:rsidRPr="00C40A55" w:rsidRDefault="00546BBA" w:rsidP="00DB7A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pl-PL"/>
              </w:rPr>
            </w:pPr>
          </w:p>
        </w:tc>
      </w:tr>
    </w:tbl>
    <w:p w14:paraId="17F4D126" w14:textId="72D632D1" w:rsidR="00DB7AA2" w:rsidRPr="00C40A55" w:rsidRDefault="00F56E7D" w:rsidP="00965205">
      <w:pPr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40A55">
        <w:rPr>
          <w:rFonts w:ascii="Times New Roman" w:eastAsia="Times New Roman" w:hAnsi="Times New Roman" w:cs="Times New Roman"/>
          <w:b/>
          <w:bCs/>
          <w:sz w:val="20"/>
          <w:szCs w:val="20"/>
        </w:rPr>
        <w:t>D. Biologické ukazatele / Wskaźniki biologiczne/</w:t>
      </w:r>
      <w:r w:rsidRPr="00C40A55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tbl>
      <w:tblPr>
        <w:tblW w:w="5000" w:type="pct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22"/>
        <w:gridCol w:w="1983"/>
        <w:gridCol w:w="1417"/>
        <w:gridCol w:w="961"/>
        <w:gridCol w:w="602"/>
        <w:gridCol w:w="850"/>
        <w:gridCol w:w="852"/>
        <w:gridCol w:w="991"/>
        <w:gridCol w:w="984"/>
      </w:tblGrid>
      <w:tr w:rsidR="00546BBA" w:rsidRPr="00C40A55" w14:paraId="6D597581" w14:textId="77777777" w:rsidTr="00E31DA8">
        <w:trPr>
          <w:trHeight w:val="230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6C610FF0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L.p.</w:t>
            </w:r>
          </w:p>
        </w:tc>
        <w:tc>
          <w:tcPr>
            <w:tcW w:w="2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62AD61FF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Ukazatele / Wskaźniki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0955E90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Třídy jakosti vod / Klasy jakości wód</w:t>
            </w:r>
          </w:p>
        </w:tc>
      </w:tr>
      <w:tr w:rsidR="00546BBA" w:rsidRPr="00C40A55" w14:paraId="119A75CC" w14:textId="77777777" w:rsidTr="00E31DA8">
        <w:trPr>
          <w:trHeight w:val="216"/>
        </w:trPr>
        <w:tc>
          <w:tcPr>
            <w:tcW w:w="23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1BFDC2BD" w14:textId="77777777" w:rsidR="00DB7AA2" w:rsidRPr="00C40A55" w:rsidRDefault="00DB7AA2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</w:p>
        </w:tc>
        <w:tc>
          <w:tcPr>
            <w:tcW w:w="2406" w:type="pct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71247D49" w14:textId="77777777" w:rsidR="00DB7AA2" w:rsidRPr="00C40A55" w:rsidRDefault="00DB7AA2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1FE7554E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I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08C04783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II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53842C94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III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10AF0841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IV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5DC5AF7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V</w:t>
            </w:r>
          </w:p>
        </w:tc>
      </w:tr>
      <w:tr w:rsidR="00546BBA" w:rsidRPr="00C40A55" w14:paraId="0CA876F0" w14:textId="77777777" w:rsidTr="0013307C">
        <w:trPr>
          <w:trHeight w:val="235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DA5D232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D7DC61F" w14:textId="77777777" w:rsidR="00DB7AA2" w:rsidRPr="00C40A55" w:rsidRDefault="00F56E7D" w:rsidP="00546BBA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fekální koliformní bakterie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D2653C7" w14:textId="77777777" w:rsidR="00DB7AA2" w:rsidRPr="00C40A55" w:rsidRDefault="00F56E7D" w:rsidP="00546BBA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Bakterie grupy coli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268BBD5" w14:textId="77777777" w:rsidR="00DB7AA2" w:rsidRPr="00C40A55" w:rsidRDefault="00F56E7D" w:rsidP="00546BBA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KTJ/100ml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6FA993E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&lt; 2000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6D5C894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&lt;10000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27C7C5A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&lt; 20000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CBB7771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&lt; 40000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1EF5D" w14:textId="11EA2959" w:rsidR="00DB7AA2" w:rsidRPr="00C40A55" w:rsidRDefault="00145037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≥</w:t>
            </w:r>
            <w:r w:rsidR="00F56E7D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 40000</w:t>
            </w:r>
          </w:p>
        </w:tc>
      </w:tr>
    </w:tbl>
    <w:p w14:paraId="1E687DA1" w14:textId="20131F9C" w:rsidR="00DB7AA2" w:rsidRPr="00C40A55" w:rsidRDefault="00DB7AA2" w:rsidP="00DB7AA2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519193" w14:textId="77777777" w:rsidR="00965205" w:rsidRPr="00C40A55" w:rsidRDefault="00965205" w:rsidP="00DB7AA2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B06C3E" w14:textId="3A3A5F0B" w:rsidR="00DB7AA2" w:rsidRPr="00C40A55" w:rsidRDefault="00F56E7D" w:rsidP="00965205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40A55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E. Prioritní látky</w:t>
      </w:r>
      <w:r w:rsidR="0057069A" w:rsidRPr="00C40A5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/Substancje priorytetowe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3"/>
        <w:gridCol w:w="2369"/>
        <w:gridCol w:w="865"/>
        <w:gridCol w:w="2186"/>
        <w:gridCol w:w="2189"/>
      </w:tblGrid>
      <w:tr w:rsidR="00930693" w:rsidRPr="00C40A55" w14:paraId="2AF100D9" w14:textId="77777777" w:rsidTr="00813704">
        <w:trPr>
          <w:trHeight w:val="778"/>
        </w:trPr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975894" w14:textId="12BB60C1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Číslo CAS</w:t>
            </w: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 indikátoru</w:t>
            </w:r>
            <w:r w:rsidR="00E31DA8"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 / </w:t>
            </w: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Numer CAS wskaźnika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2E22E6" w14:textId="520E5333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Název látky </w:t>
            </w:r>
            <w:r w:rsidR="00E31DA8"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/ </w:t>
            </w: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Nazwa substancji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FD9212" w14:textId="6A175532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Jednotka</w:t>
            </w:r>
            <w:r w:rsidR="00E31DA8"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 /</w:t>
            </w:r>
          </w:p>
          <w:p w14:paraId="53D97F13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Jednstka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9ECE121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AA-EQS</w:t>
            </w: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2)</w:t>
            </w:r>
          </w:p>
          <w:p w14:paraId="6F859809" w14:textId="6D36AC1C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Vnitrozemské povrchové vody </w:t>
            </w:r>
            <w:r w:rsidR="00E31DA8"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/ </w:t>
            </w: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Wody powierzchniowe śródlądowe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326846E" w14:textId="1E906FCB" w:rsidR="00DB7AA2" w:rsidRPr="00C40A55" w:rsidRDefault="00546BBA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MAC-EQS</w:t>
            </w: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3</w:t>
            </w:r>
            <w:r w:rsidR="00F56E7D" w:rsidRPr="00C40A55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6"/>
                <w:szCs w:val="16"/>
                <w:vertAlign w:val="superscript"/>
                <w:lang w:eastAsia="cs-CZ"/>
              </w:rPr>
              <w:t>)</w:t>
            </w:r>
          </w:p>
          <w:p w14:paraId="27B37735" w14:textId="6F0B667B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Vnitrozem ské povrchové vody </w:t>
            </w:r>
            <w:r w:rsidR="00E31DA8"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/ </w:t>
            </w:r>
            <w:r w:rsidRPr="00C40A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Wody powierzchniowe śródlądowe</w:t>
            </w:r>
          </w:p>
        </w:tc>
      </w:tr>
      <w:tr w:rsidR="00930693" w:rsidRPr="00C40A55" w14:paraId="5867E5FB" w14:textId="77777777" w:rsidTr="00546BBA">
        <w:trPr>
          <w:trHeight w:val="403"/>
        </w:trPr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ABA6171" w14:textId="77777777" w:rsidR="00DB7AA2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7439-97-6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B39195F" w14:textId="52A51401" w:rsidR="00DB7AA2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Rtuť rozpuštěná fáze </w:t>
            </w:r>
            <w:r w:rsidR="00E31DA8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/ 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Rtęć i jej związki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88F2BF3" w14:textId="0C986C59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μg/I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795EC55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pl-PL"/>
              </w:rPr>
              <w:t>-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D9857A9" w14:textId="77777777" w:rsidR="00DB7AA2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0,07</w:t>
            </w:r>
          </w:p>
        </w:tc>
      </w:tr>
      <w:tr w:rsidR="00930693" w:rsidRPr="00C40A55" w14:paraId="4546BD51" w14:textId="77777777" w:rsidTr="00546BBA">
        <w:trPr>
          <w:trHeight w:val="432"/>
        </w:trPr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EEA421" w14:textId="77777777" w:rsidR="00813704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7439-92-1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1B4693" w14:textId="0C92EC0A" w:rsidR="00813704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Olovo a jeho sloučeniny- rozpuštěné </w:t>
            </w:r>
            <w:r w:rsidR="00E31DA8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/ 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Ołów i jego związki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B6F6546" w14:textId="415EE31F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μg/I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B8CE940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7DD0648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14</w:t>
            </w:r>
          </w:p>
        </w:tc>
      </w:tr>
      <w:tr w:rsidR="00930693" w:rsidRPr="00C40A55" w14:paraId="157B6F64" w14:textId="77777777" w:rsidTr="00546BBA">
        <w:trPr>
          <w:trHeight w:val="293"/>
        </w:trPr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5D99901" w14:textId="77777777" w:rsidR="00813704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7440-02-0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7CF8744" w14:textId="77B327B6" w:rsidR="00813704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Nikl a jeho sloučeniny- rozpuštěné </w:t>
            </w:r>
            <w:r w:rsidR="00E31DA8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/ 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Nikiel i jego związki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85159D" w14:textId="49A49ADD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μg/I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9B270A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E357FF9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34</w:t>
            </w:r>
          </w:p>
        </w:tc>
      </w:tr>
      <w:tr w:rsidR="00930693" w:rsidRPr="00C40A55" w14:paraId="7ED560C1" w14:textId="77777777" w:rsidTr="00546BBA">
        <w:trPr>
          <w:trHeight w:val="192"/>
        </w:trPr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6D1397" w14:textId="77777777" w:rsidR="00813704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7440-43-9</w:t>
            </w:r>
          </w:p>
        </w:tc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954D89" w14:textId="75CAA2FB" w:rsidR="00813704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Kadmium a jeho sloučeniny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cs-CZ"/>
              </w:rPr>
              <w:t xml:space="preserve">4) </w:t>
            </w:r>
            <w:r w:rsidR="00920697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/ 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Kadm i jego związki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4CC7E21" w14:textId="0C91D325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μg/I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40F670C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&lt; 0,08 (třída/klasa 1)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DF0ED88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&lt; 0,45 (třída/klasa 1)</w:t>
            </w:r>
          </w:p>
        </w:tc>
      </w:tr>
      <w:tr w:rsidR="00930693" w:rsidRPr="00C40A55" w14:paraId="2D00A390" w14:textId="77777777" w:rsidTr="00546BBA">
        <w:trPr>
          <w:trHeight w:val="192"/>
        </w:trPr>
        <w:tc>
          <w:tcPr>
            <w:tcW w:w="802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AEDD0F6" w14:textId="77777777" w:rsidR="00813704" w:rsidRPr="00C40A55" w:rsidRDefault="00813704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</w:p>
        </w:tc>
        <w:tc>
          <w:tcPr>
            <w:tcW w:w="130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764927" w14:textId="77777777" w:rsidR="00813704" w:rsidRPr="00C40A55" w:rsidRDefault="00813704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4E14A91" w14:textId="77777777" w:rsidR="00813704" w:rsidRPr="00C40A55" w:rsidRDefault="00813704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F657A5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0,08 (třída/klasa 2)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28D2CE8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0,45 (třída/klasa 2)</w:t>
            </w:r>
          </w:p>
        </w:tc>
      </w:tr>
      <w:tr w:rsidR="00930693" w:rsidRPr="00C40A55" w14:paraId="1F198589" w14:textId="77777777" w:rsidTr="00546BBA">
        <w:trPr>
          <w:trHeight w:val="192"/>
        </w:trPr>
        <w:tc>
          <w:tcPr>
            <w:tcW w:w="802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C8F98B8" w14:textId="77777777" w:rsidR="00813704" w:rsidRPr="00C40A55" w:rsidRDefault="00813704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</w:p>
        </w:tc>
        <w:tc>
          <w:tcPr>
            <w:tcW w:w="130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E2704E" w14:textId="77777777" w:rsidR="00813704" w:rsidRPr="00C40A55" w:rsidRDefault="00813704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8FB59A5" w14:textId="77777777" w:rsidR="00813704" w:rsidRPr="00C40A55" w:rsidRDefault="00813704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AAEBC8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0,09 (třída/klasa 3)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1240D28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0,6 (třída/klasa 3)</w:t>
            </w:r>
          </w:p>
        </w:tc>
      </w:tr>
      <w:tr w:rsidR="00930693" w:rsidRPr="00C40A55" w14:paraId="3EFBD21E" w14:textId="77777777" w:rsidTr="00546BBA">
        <w:trPr>
          <w:trHeight w:val="192"/>
        </w:trPr>
        <w:tc>
          <w:tcPr>
            <w:tcW w:w="802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1248F9E" w14:textId="77777777" w:rsidR="00813704" w:rsidRPr="00C40A55" w:rsidRDefault="00813704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</w:p>
        </w:tc>
        <w:tc>
          <w:tcPr>
            <w:tcW w:w="130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A678BD" w14:textId="77777777" w:rsidR="00813704" w:rsidRPr="00C40A55" w:rsidRDefault="00813704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72CA6C" w14:textId="77777777" w:rsidR="00813704" w:rsidRPr="00C40A55" w:rsidRDefault="00813704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9CC49F4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0,15 (třída/klasa 4)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D3E02BD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0,9 (třída/klasa 4)</w:t>
            </w:r>
          </w:p>
        </w:tc>
      </w:tr>
      <w:tr w:rsidR="00930693" w:rsidRPr="00C40A55" w14:paraId="782860E1" w14:textId="77777777" w:rsidTr="00546BBA">
        <w:trPr>
          <w:trHeight w:val="192"/>
        </w:trPr>
        <w:tc>
          <w:tcPr>
            <w:tcW w:w="802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DB8B159" w14:textId="77777777" w:rsidR="00813704" w:rsidRPr="00C40A55" w:rsidRDefault="00813704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</w:p>
        </w:tc>
        <w:tc>
          <w:tcPr>
            <w:tcW w:w="130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78851E" w14:textId="77777777" w:rsidR="00813704" w:rsidRPr="00C40A55" w:rsidRDefault="00813704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9784F2" w14:textId="77777777" w:rsidR="00813704" w:rsidRPr="00C40A55" w:rsidRDefault="00813704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AD428D4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0,25 (třída/klasa 5)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82F42F3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1,5 (třída/klasa 5)</w:t>
            </w:r>
          </w:p>
        </w:tc>
      </w:tr>
      <w:tr w:rsidR="00930693" w:rsidRPr="00C40A55" w14:paraId="6AAD6F94" w14:textId="77777777" w:rsidTr="00546BBA">
        <w:trPr>
          <w:trHeight w:val="326"/>
        </w:trPr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199A90" w14:textId="77777777" w:rsidR="00813704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120-12-7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14B65D9" w14:textId="77777777" w:rsidR="00813704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Antracen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8F0003" w14:textId="19A9414A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μg/I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00462F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0,1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E9163C6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0,1</w:t>
            </w:r>
          </w:p>
        </w:tc>
      </w:tr>
      <w:tr w:rsidR="00930693" w:rsidRPr="00C40A55" w14:paraId="3C392C4D" w14:textId="77777777" w:rsidTr="00546BBA">
        <w:trPr>
          <w:trHeight w:val="192"/>
        </w:trPr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A9E7A01" w14:textId="77777777" w:rsidR="00813704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206-44-0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CBB27CB" w14:textId="77777777" w:rsidR="00813704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Fluoranten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F26FC3" w14:textId="14A1C5D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μg/I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9B65D96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0,0063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43123DA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0,12</w:t>
            </w:r>
          </w:p>
        </w:tc>
      </w:tr>
      <w:tr w:rsidR="00930693" w:rsidRPr="00C40A55" w14:paraId="772AA4A1" w14:textId="77777777" w:rsidTr="00546BBA">
        <w:trPr>
          <w:trHeight w:val="192"/>
        </w:trPr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655219" w14:textId="77777777" w:rsidR="00813704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50-32-8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0B77E6" w14:textId="77777777" w:rsidR="00813704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Benzo(a)piren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03A544" w14:textId="407DC0CE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μg/I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FE8256D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1,7x10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cs-CZ"/>
              </w:rPr>
              <w:t>-4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7F0AD06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0,27</w:t>
            </w:r>
          </w:p>
        </w:tc>
      </w:tr>
      <w:tr w:rsidR="00930693" w:rsidRPr="00C40A55" w14:paraId="731A390A" w14:textId="77777777" w:rsidTr="00546BBA">
        <w:trPr>
          <w:trHeight w:val="197"/>
        </w:trPr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FAB272" w14:textId="77777777" w:rsidR="00813704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205-99-2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19C7FED" w14:textId="77777777" w:rsidR="00813704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Benzo(b)fluoranten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E48FFF" w14:textId="2DA9BAFE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μg/I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A750EDE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cs-CZ" w:eastAsia="cs-CZ"/>
              </w:rPr>
              <w:t>-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7C81D56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0,017</w:t>
            </w:r>
          </w:p>
        </w:tc>
      </w:tr>
      <w:tr w:rsidR="00930693" w:rsidRPr="00C40A55" w14:paraId="3F23556C" w14:textId="77777777" w:rsidTr="0013307C">
        <w:trPr>
          <w:trHeight w:val="192"/>
        </w:trPr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00B3BCE" w14:textId="77777777" w:rsidR="00813704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207-08-9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A021B63" w14:textId="5F40EE48" w:rsidR="00813704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Benzo(k)f</w:t>
            </w:r>
            <w:r w:rsidR="00145037"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l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uoranten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E17EBB" w14:textId="75BF65CC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μg/I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EC796A2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cs-CZ" w:eastAsia="cs-CZ"/>
              </w:rPr>
              <w:t>-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9EAC8B9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0,017</w:t>
            </w:r>
          </w:p>
        </w:tc>
      </w:tr>
      <w:tr w:rsidR="00930693" w:rsidRPr="00C40A55" w14:paraId="386805B2" w14:textId="77777777" w:rsidTr="00546BBA">
        <w:trPr>
          <w:trHeight w:val="192"/>
        </w:trPr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90DF95" w14:textId="77777777" w:rsidR="00813704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191-24-2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E3EAE" w14:textId="77777777" w:rsidR="00813704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Benzo(g,h,i)perylen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A177419" w14:textId="0AAD05A1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μg/I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0CDC997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cs-CZ" w:eastAsia="cs-CZ"/>
              </w:rPr>
              <w:t>-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1BB458C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8,2x10</w:t>
            </w: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cs-CZ"/>
              </w:rPr>
              <w:t>-3</w:t>
            </w:r>
          </w:p>
        </w:tc>
      </w:tr>
      <w:tr w:rsidR="00930693" w:rsidRPr="00C40A55" w14:paraId="6BB9A845" w14:textId="77777777" w:rsidTr="00546BBA">
        <w:trPr>
          <w:trHeight w:val="202"/>
        </w:trPr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9AF4A05" w14:textId="77777777" w:rsidR="00813704" w:rsidRPr="00C40A55" w:rsidRDefault="00F56E7D" w:rsidP="00546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193-39-5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4B758D1" w14:textId="77777777" w:rsidR="00813704" w:rsidRPr="00C40A55" w:rsidRDefault="00F56E7D" w:rsidP="00813704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Indeno(1,2,3-cd)piren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8D709D7" w14:textId="461B642C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μg/I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CA1549F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cs-CZ" w:eastAsia="cs-CZ"/>
              </w:rPr>
              <w:t>-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83799" w14:textId="77777777" w:rsidR="00813704" w:rsidRPr="00C40A55" w:rsidRDefault="00F56E7D" w:rsidP="008137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cs-CZ" w:eastAsia="pl-PL"/>
              </w:rPr>
            </w:pPr>
            <w:r w:rsidRPr="00C40A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cs-CZ" w:eastAsia="cs-CZ"/>
              </w:rPr>
              <w:t>-</w:t>
            </w:r>
          </w:p>
        </w:tc>
      </w:tr>
    </w:tbl>
    <w:p w14:paraId="43391DE0" w14:textId="35A29274" w:rsidR="00DB7AA2" w:rsidRPr="00C40A55" w:rsidRDefault="00F56E7D" w:rsidP="00965205">
      <w:pPr>
        <w:spacing w:before="24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40A55">
        <w:rPr>
          <w:rFonts w:ascii="Times New Roman" w:eastAsia="Times New Roman" w:hAnsi="Times New Roman" w:cs="Times New Roman"/>
          <w:sz w:val="16"/>
          <w:szCs w:val="16"/>
          <w:vertAlign w:val="superscript"/>
        </w:rPr>
        <w:t>1)</w:t>
      </w:r>
      <w:r w:rsidRPr="00C40A55">
        <w:rPr>
          <w:rFonts w:ascii="Times New Roman" w:eastAsia="Times New Roman" w:hAnsi="Times New Roman" w:cs="Times New Roman"/>
          <w:sz w:val="16"/>
          <w:szCs w:val="16"/>
        </w:rPr>
        <w:t xml:space="preserve"> CAS: Chemical Abstract Service</w:t>
      </w:r>
    </w:p>
    <w:p w14:paraId="750628C9" w14:textId="59022DC6" w:rsidR="00DB7AA2" w:rsidRPr="00C40A55" w:rsidRDefault="00F56E7D" w:rsidP="00DB7AA2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40A55">
        <w:rPr>
          <w:rFonts w:ascii="Times New Roman" w:eastAsia="Times New Roman" w:hAnsi="Times New Roman" w:cs="Times New Roman"/>
          <w:sz w:val="16"/>
          <w:szCs w:val="16"/>
          <w:vertAlign w:val="superscript"/>
        </w:rPr>
        <w:t>2)</w:t>
      </w:r>
      <w:r w:rsidRPr="00C40A55">
        <w:rPr>
          <w:rFonts w:ascii="Times New Roman" w:eastAsia="Times New Roman" w:hAnsi="Times New Roman" w:cs="Times New Roman"/>
          <w:sz w:val="16"/>
          <w:szCs w:val="16"/>
        </w:rPr>
        <w:t xml:space="preserve"> Parametr jest środowiskową normą jakości wyrażoną jako wartość średnioroczna (AA-EQS). O ile nie określono inaczej, ma on zastosowanie do całkowitego stężenia wszystkich izomerów.</w:t>
      </w:r>
    </w:p>
    <w:p w14:paraId="0857A5E1" w14:textId="77777777" w:rsidR="00DB7AA2" w:rsidRPr="00C40A55" w:rsidRDefault="00F56E7D" w:rsidP="00DB7AA2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40A55">
        <w:rPr>
          <w:rFonts w:ascii="Times New Roman" w:eastAsia="Times New Roman" w:hAnsi="Times New Roman" w:cs="Times New Roman"/>
          <w:sz w:val="16"/>
          <w:szCs w:val="16"/>
        </w:rPr>
        <w:t>Parametr je normou environmentální kvality vyjádřenou jako roční průměrná hodnota (RP-NEK). Pokud není uvedeno jinak, vztahuje se na celkovou koncentraci všech izomerů.</w:t>
      </w:r>
    </w:p>
    <w:p w14:paraId="3A6D078D" w14:textId="1A77CFCC" w:rsidR="00DB7AA2" w:rsidRPr="00C40A55" w:rsidRDefault="00F56E7D" w:rsidP="00DB7AA2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40A55">
        <w:rPr>
          <w:rFonts w:ascii="Times New Roman" w:eastAsia="Times New Roman" w:hAnsi="Times New Roman" w:cs="Times New Roman"/>
          <w:sz w:val="16"/>
          <w:szCs w:val="16"/>
          <w:vertAlign w:val="superscript"/>
        </w:rPr>
        <w:t>3)</w:t>
      </w:r>
      <w:r w:rsidRPr="00C40A55">
        <w:rPr>
          <w:rFonts w:ascii="Times New Roman" w:eastAsia="Times New Roman" w:hAnsi="Times New Roman" w:cs="Times New Roman"/>
          <w:sz w:val="16"/>
          <w:szCs w:val="16"/>
        </w:rPr>
        <w:t xml:space="preserve"> Parametr jest środowiskową normą jakości wyrażoną jako maksymalne dopuszczalne stężenie (MAC-</w:t>
      </w:r>
      <w:r w:rsidR="00546BBA" w:rsidRPr="00C40A55">
        <w:rPr>
          <w:rFonts w:ascii="Times New Roman" w:eastAsia="Times New Roman" w:hAnsi="Times New Roman" w:cs="Times New Roman"/>
          <w:sz w:val="16"/>
          <w:szCs w:val="16"/>
        </w:rPr>
        <w:t>E</w:t>
      </w:r>
      <w:r w:rsidRPr="00C40A55">
        <w:rPr>
          <w:rFonts w:ascii="Times New Roman" w:eastAsia="Times New Roman" w:hAnsi="Times New Roman" w:cs="Times New Roman"/>
          <w:sz w:val="16"/>
          <w:szCs w:val="16"/>
        </w:rPr>
        <w:t>QS).</w:t>
      </w:r>
    </w:p>
    <w:p w14:paraId="03C7811F" w14:textId="17679157" w:rsidR="00DB7AA2" w:rsidRPr="00C40A55" w:rsidRDefault="00F56E7D" w:rsidP="00DB7AA2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40A55">
        <w:rPr>
          <w:rFonts w:ascii="Times New Roman" w:eastAsia="Times New Roman" w:hAnsi="Times New Roman" w:cs="Times New Roman"/>
          <w:sz w:val="16"/>
          <w:szCs w:val="16"/>
        </w:rPr>
        <w:t>Parametr je normou environmentální kvality vyjádřenou jako maximální přípustná koncentrace (MAC-</w:t>
      </w:r>
      <w:r w:rsidR="00546BBA" w:rsidRPr="00C40A55">
        <w:rPr>
          <w:rFonts w:ascii="Times New Roman" w:eastAsia="Times New Roman" w:hAnsi="Times New Roman" w:cs="Times New Roman"/>
          <w:sz w:val="16"/>
          <w:szCs w:val="16"/>
        </w:rPr>
        <w:t>E</w:t>
      </w:r>
      <w:r w:rsidRPr="00C40A55">
        <w:rPr>
          <w:rFonts w:ascii="Times New Roman" w:eastAsia="Times New Roman" w:hAnsi="Times New Roman" w:cs="Times New Roman"/>
          <w:sz w:val="16"/>
          <w:szCs w:val="16"/>
        </w:rPr>
        <w:t>QS).</w:t>
      </w:r>
    </w:p>
    <w:p w14:paraId="033F52A8" w14:textId="19D1A542" w:rsidR="00DB7AA2" w:rsidRPr="00C40A55" w:rsidRDefault="00F56E7D" w:rsidP="00DB7AA2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40A55">
        <w:rPr>
          <w:rFonts w:ascii="Times New Roman" w:eastAsia="Times New Roman" w:hAnsi="Times New Roman" w:cs="Times New Roman"/>
          <w:sz w:val="16"/>
          <w:szCs w:val="16"/>
          <w:vertAlign w:val="superscript"/>
        </w:rPr>
        <w:t>4)</w:t>
      </w:r>
      <w:r w:rsidRPr="00C40A55">
        <w:rPr>
          <w:rFonts w:ascii="Times New Roman" w:eastAsia="Times New Roman" w:hAnsi="Times New Roman" w:cs="Times New Roman"/>
          <w:sz w:val="16"/>
          <w:szCs w:val="16"/>
        </w:rPr>
        <w:t xml:space="preserve"> Dla kadmu i jego związków wartości środowiskowej normy jakości zależą od twardości wody wyrażonej w pięciu klasach twardości (klasa 1: &lt; 40 mg CaCO3/l, klasa 2: 40 do &lt; 50 mg CaCO3/l, klasa 3: 50 do &lt; 100 mg CaCO3/l, klasa 4: 100 do &lt; 200 mg CaCO3/l i klasa 5: </w:t>
      </w:r>
      <w:r w:rsidR="00AB1475" w:rsidRPr="00C40A55">
        <w:rPr>
          <w:rFonts w:ascii="Times New Roman" w:eastAsia="Times New Roman" w:hAnsi="Times New Roman" w:cs="Times New Roman"/>
          <w:color w:val="000000"/>
          <w:sz w:val="16"/>
          <w:szCs w:val="16"/>
          <w:lang w:eastAsia="hr-HR"/>
        </w:rPr>
        <w:t>≥</w:t>
      </w:r>
      <w:r w:rsidRPr="00C40A55">
        <w:rPr>
          <w:rFonts w:ascii="Times New Roman" w:eastAsia="Times New Roman" w:hAnsi="Times New Roman" w:cs="Times New Roman"/>
          <w:sz w:val="16"/>
          <w:szCs w:val="16"/>
        </w:rPr>
        <w:t xml:space="preserve"> 200 mg CaCO3/l).</w:t>
      </w:r>
    </w:p>
    <w:p w14:paraId="3C1BCD5D" w14:textId="73D25FB0" w:rsidR="00DB7AA2" w:rsidRPr="00C40A55" w:rsidRDefault="00F56E7D" w:rsidP="00DB7AA2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40A55">
        <w:rPr>
          <w:rFonts w:ascii="Times New Roman" w:eastAsia="Times New Roman" w:hAnsi="Times New Roman" w:cs="Times New Roman"/>
          <w:sz w:val="16"/>
          <w:szCs w:val="16"/>
        </w:rPr>
        <w:t xml:space="preserve">Pro kadmium a jeho sloučeniny závisí normy environmentální kvality na tvrdosti vody vyjádřené v pěti třídách tvrdosti (třída 1: &lt; 40 mg CaCO3/l, třída 2: 40 až &lt; 50 mg CaCO3/l, třída 3: 50 až &lt; 100 mg CaCO3 /l, třída 4: 100 až &lt; 200 mg CaCO3/l a třída 5: </w:t>
      </w:r>
      <w:r w:rsidR="00AB1475" w:rsidRPr="00C40A55">
        <w:rPr>
          <w:rFonts w:ascii="Times New Roman" w:eastAsia="Times New Roman" w:hAnsi="Times New Roman" w:cs="Times New Roman"/>
          <w:color w:val="000000"/>
          <w:sz w:val="16"/>
          <w:szCs w:val="16"/>
          <w:lang w:eastAsia="hr-HR"/>
        </w:rPr>
        <w:t>≥</w:t>
      </w:r>
      <w:r w:rsidRPr="00C40A55">
        <w:rPr>
          <w:rFonts w:ascii="Times New Roman" w:eastAsia="Times New Roman" w:hAnsi="Times New Roman" w:cs="Times New Roman"/>
          <w:sz w:val="16"/>
          <w:szCs w:val="16"/>
        </w:rPr>
        <w:t xml:space="preserve"> 200 mg CaCO3/I).</w:t>
      </w:r>
    </w:p>
    <w:sectPr w:rsidR="00DB7AA2" w:rsidRPr="00C40A55" w:rsidSect="00DB7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CE774" w14:textId="77777777" w:rsidR="005D4130" w:rsidRDefault="005D4130" w:rsidP="00B1625A">
      <w:pPr>
        <w:spacing w:after="0" w:line="240" w:lineRule="auto"/>
      </w:pPr>
      <w:r>
        <w:separator/>
      </w:r>
    </w:p>
  </w:endnote>
  <w:endnote w:type="continuationSeparator" w:id="0">
    <w:p w14:paraId="08FE9C19" w14:textId="77777777" w:rsidR="005D4130" w:rsidRDefault="005D4130" w:rsidP="00B16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355BC" w14:textId="77777777" w:rsidR="005D4130" w:rsidRDefault="005D4130" w:rsidP="00B1625A">
      <w:pPr>
        <w:spacing w:after="0" w:line="240" w:lineRule="auto"/>
      </w:pPr>
      <w:r>
        <w:separator/>
      </w:r>
    </w:p>
  </w:footnote>
  <w:footnote w:type="continuationSeparator" w:id="0">
    <w:p w14:paraId="7228AFB0" w14:textId="77777777" w:rsidR="005D4130" w:rsidRDefault="005D4130" w:rsidP="00B16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3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33C4CA8"/>
    <w:multiLevelType w:val="hybridMultilevel"/>
    <w:tmpl w:val="3DAE98F6"/>
    <w:lvl w:ilvl="0" w:tplc="59F45748">
      <w:start w:val="1"/>
      <w:numFmt w:val="lowerLetter"/>
      <w:lvlText w:val="%1)"/>
      <w:lvlJc w:val="left"/>
      <w:pPr>
        <w:ind w:left="720" w:hanging="360"/>
      </w:pPr>
    </w:lvl>
    <w:lvl w:ilvl="1" w:tplc="F7BC84BE" w:tentative="1">
      <w:start w:val="1"/>
      <w:numFmt w:val="lowerLetter"/>
      <w:lvlText w:val="%2."/>
      <w:lvlJc w:val="left"/>
      <w:pPr>
        <w:ind w:left="1440" w:hanging="360"/>
      </w:pPr>
    </w:lvl>
    <w:lvl w:ilvl="2" w:tplc="10F04DF4" w:tentative="1">
      <w:start w:val="1"/>
      <w:numFmt w:val="lowerRoman"/>
      <w:lvlText w:val="%3."/>
      <w:lvlJc w:val="right"/>
      <w:pPr>
        <w:ind w:left="2160" w:hanging="180"/>
      </w:pPr>
    </w:lvl>
    <w:lvl w:ilvl="3" w:tplc="F60E2908" w:tentative="1">
      <w:start w:val="1"/>
      <w:numFmt w:val="decimal"/>
      <w:lvlText w:val="%4."/>
      <w:lvlJc w:val="left"/>
      <w:pPr>
        <w:ind w:left="2880" w:hanging="360"/>
      </w:pPr>
    </w:lvl>
    <w:lvl w:ilvl="4" w:tplc="9774DB68" w:tentative="1">
      <w:start w:val="1"/>
      <w:numFmt w:val="lowerLetter"/>
      <w:lvlText w:val="%5."/>
      <w:lvlJc w:val="left"/>
      <w:pPr>
        <w:ind w:left="3600" w:hanging="360"/>
      </w:pPr>
    </w:lvl>
    <w:lvl w:ilvl="5" w:tplc="B5FC2D2C" w:tentative="1">
      <w:start w:val="1"/>
      <w:numFmt w:val="lowerRoman"/>
      <w:lvlText w:val="%6."/>
      <w:lvlJc w:val="right"/>
      <w:pPr>
        <w:ind w:left="4320" w:hanging="180"/>
      </w:pPr>
    </w:lvl>
    <w:lvl w:ilvl="6" w:tplc="7062D6CC" w:tentative="1">
      <w:start w:val="1"/>
      <w:numFmt w:val="decimal"/>
      <w:lvlText w:val="%7."/>
      <w:lvlJc w:val="left"/>
      <w:pPr>
        <w:ind w:left="5040" w:hanging="360"/>
      </w:pPr>
    </w:lvl>
    <w:lvl w:ilvl="7" w:tplc="0B589502" w:tentative="1">
      <w:start w:val="1"/>
      <w:numFmt w:val="lowerLetter"/>
      <w:lvlText w:val="%8."/>
      <w:lvlJc w:val="left"/>
      <w:pPr>
        <w:ind w:left="5760" w:hanging="360"/>
      </w:pPr>
    </w:lvl>
    <w:lvl w:ilvl="8" w:tplc="14E4E7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7661D"/>
    <w:multiLevelType w:val="hybridMultilevel"/>
    <w:tmpl w:val="8C924E06"/>
    <w:lvl w:ilvl="0" w:tplc="354C27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E83B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6268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608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BC3E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A4DA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AE96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78D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96A8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20346D"/>
    <w:multiLevelType w:val="hybridMultilevel"/>
    <w:tmpl w:val="D6925214"/>
    <w:lvl w:ilvl="0" w:tplc="96828DC4">
      <w:start w:val="1"/>
      <w:numFmt w:val="lowerLetter"/>
      <w:lvlText w:val="%1)"/>
      <w:lvlJc w:val="left"/>
      <w:pPr>
        <w:ind w:left="720" w:hanging="360"/>
      </w:pPr>
    </w:lvl>
    <w:lvl w:ilvl="1" w:tplc="22B00D70" w:tentative="1">
      <w:start w:val="1"/>
      <w:numFmt w:val="lowerLetter"/>
      <w:lvlText w:val="%2."/>
      <w:lvlJc w:val="left"/>
      <w:pPr>
        <w:ind w:left="1440" w:hanging="360"/>
      </w:pPr>
    </w:lvl>
    <w:lvl w:ilvl="2" w:tplc="E5E62418" w:tentative="1">
      <w:start w:val="1"/>
      <w:numFmt w:val="lowerRoman"/>
      <w:lvlText w:val="%3."/>
      <w:lvlJc w:val="right"/>
      <w:pPr>
        <w:ind w:left="2160" w:hanging="180"/>
      </w:pPr>
    </w:lvl>
    <w:lvl w:ilvl="3" w:tplc="37507FF2" w:tentative="1">
      <w:start w:val="1"/>
      <w:numFmt w:val="decimal"/>
      <w:lvlText w:val="%4."/>
      <w:lvlJc w:val="left"/>
      <w:pPr>
        <w:ind w:left="2880" w:hanging="360"/>
      </w:pPr>
    </w:lvl>
    <w:lvl w:ilvl="4" w:tplc="CDA23CEE" w:tentative="1">
      <w:start w:val="1"/>
      <w:numFmt w:val="lowerLetter"/>
      <w:lvlText w:val="%5."/>
      <w:lvlJc w:val="left"/>
      <w:pPr>
        <w:ind w:left="3600" w:hanging="360"/>
      </w:pPr>
    </w:lvl>
    <w:lvl w:ilvl="5" w:tplc="CB0ACBC8" w:tentative="1">
      <w:start w:val="1"/>
      <w:numFmt w:val="lowerRoman"/>
      <w:lvlText w:val="%6."/>
      <w:lvlJc w:val="right"/>
      <w:pPr>
        <w:ind w:left="4320" w:hanging="180"/>
      </w:pPr>
    </w:lvl>
    <w:lvl w:ilvl="6" w:tplc="646E2E9A" w:tentative="1">
      <w:start w:val="1"/>
      <w:numFmt w:val="decimal"/>
      <w:lvlText w:val="%7."/>
      <w:lvlJc w:val="left"/>
      <w:pPr>
        <w:ind w:left="5040" w:hanging="360"/>
      </w:pPr>
    </w:lvl>
    <w:lvl w:ilvl="7" w:tplc="2CB21BA8" w:tentative="1">
      <w:start w:val="1"/>
      <w:numFmt w:val="lowerLetter"/>
      <w:lvlText w:val="%8."/>
      <w:lvlJc w:val="left"/>
      <w:pPr>
        <w:ind w:left="5760" w:hanging="360"/>
      </w:pPr>
    </w:lvl>
    <w:lvl w:ilvl="8" w:tplc="6648670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B7AA2"/>
    <w:rsid w:val="000972CF"/>
    <w:rsid w:val="000C4914"/>
    <w:rsid w:val="000D4E8E"/>
    <w:rsid w:val="0013307C"/>
    <w:rsid w:val="00145037"/>
    <w:rsid w:val="00160CEC"/>
    <w:rsid w:val="001F1B68"/>
    <w:rsid w:val="002529A6"/>
    <w:rsid w:val="00316E81"/>
    <w:rsid w:val="00356B89"/>
    <w:rsid w:val="00411E4C"/>
    <w:rsid w:val="00464129"/>
    <w:rsid w:val="0049322D"/>
    <w:rsid w:val="004A26FD"/>
    <w:rsid w:val="004A4B9B"/>
    <w:rsid w:val="004B503A"/>
    <w:rsid w:val="004D5AB0"/>
    <w:rsid w:val="00546BBA"/>
    <w:rsid w:val="0057069A"/>
    <w:rsid w:val="005C3C74"/>
    <w:rsid w:val="005D4130"/>
    <w:rsid w:val="005D5509"/>
    <w:rsid w:val="006B2DDC"/>
    <w:rsid w:val="00805AD1"/>
    <w:rsid w:val="00813704"/>
    <w:rsid w:val="00857419"/>
    <w:rsid w:val="0086058B"/>
    <w:rsid w:val="00862132"/>
    <w:rsid w:val="00920697"/>
    <w:rsid w:val="00930693"/>
    <w:rsid w:val="00965205"/>
    <w:rsid w:val="00972D4D"/>
    <w:rsid w:val="009A4C9B"/>
    <w:rsid w:val="00A1223B"/>
    <w:rsid w:val="00A91800"/>
    <w:rsid w:val="00AB1475"/>
    <w:rsid w:val="00B1625A"/>
    <w:rsid w:val="00B31BA3"/>
    <w:rsid w:val="00B947D5"/>
    <w:rsid w:val="00C40A55"/>
    <w:rsid w:val="00CF19CB"/>
    <w:rsid w:val="00D04055"/>
    <w:rsid w:val="00D85544"/>
    <w:rsid w:val="00DB7AA2"/>
    <w:rsid w:val="00DF19A4"/>
    <w:rsid w:val="00E04747"/>
    <w:rsid w:val="00E31DA8"/>
    <w:rsid w:val="00E44877"/>
    <w:rsid w:val="00E727D0"/>
    <w:rsid w:val="00EA14C3"/>
    <w:rsid w:val="00EE6398"/>
    <w:rsid w:val="00F56E7D"/>
    <w:rsid w:val="00FD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24A56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7A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16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625A"/>
  </w:style>
  <w:style w:type="paragraph" w:styleId="Stopka">
    <w:name w:val="footer"/>
    <w:basedOn w:val="Normalny"/>
    <w:link w:val="StopkaZnak"/>
    <w:uiPriority w:val="99"/>
    <w:unhideWhenUsed/>
    <w:rsid w:val="00B16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625A"/>
  </w:style>
  <w:style w:type="paragraph" w:styleId="Poprawka">
    <w:name w:val="Revision"/>
    <w:hidden/>
    <w:uiPriority w:val="99"/>
    <w:semiHidden/>
    <w:rsid w:val="00D0405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14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14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14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14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14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854EC-E27B-42F6-87D2-0D47BD3E4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2760</Words>
  <Characters>16562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2023-10-04T10:53:00Z</dcterms:created>
  <dcterms:modified xsi:type="dcterms:W3CDTF">2023-10-27T08:50:00Z</dcterms:modified>
</cp:coreProperties>
</file>